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rPr>
      </w:pPr>
      <w:r>
        <w:rPr>
          <w:rFonts w:hint="eastAsia" w:ascii="宋体" w:hAnsi="宋体"/>
        </w:rPr>
        <w:t xml:space="preserve"> </w:t>
      </w:r>
    </w:p>
    <w:p>
      <w:pPr>
        <w:spacing w:line="276" w:lineRule="auto"/>
        <w:jc w:val="center"/>
        <w:rPr>
          <w:rFonts w:ascii="宋体" w:hAnsi="宋体"/>
          <w:b/>
          <w:sz w:val="72"/>
          <w:szCs w:val="44"/>
        </w:rPr>
      </w:pPr>
      <w:r>
        <w:rPr>
          <w:rFonts w:hint="eastAsia" w:ascii="宋体" w:hAnsi="宋体"/>
          <w:b/>
          <w:sz w:val="72"/>
          <w:szCs w:val="44"/>
        </w:rPr>
        <w:t>竞争性比选文件</w:t>
      </w:r>
    </w:p>
    <w:p>
      <w:pPr>
        <w:pStyle w:val="23"/>
        <w:spacing w:line="276" w:lineRule="auto"/>
        <w:ind w:left="0"/>
        <w:jc w:val="center"/>
        <w:rPr>
          <w:rFonts w:ascii="宋体" w:hAnsi="宋体"/>
          <w:b/>
          <w:sz w:val="32"/>
        </w:rPr>
      </w:pPr>
    </w:p>
    <w:p>
      <w:pPr>
        <w:pStyle w:val="23"/>
        <w:spacing w:line="276" w:lineRule="auto"/>
        <w:ind w:left="0"/>
        <w:jc w:val="center"/>
        <w:rPr>
          <w:rFonts w:ascii="宋体" w:hAnsi="宋体"/>
          <w:b/>
          <w:sz w:val="32"/>
        </w:rPr>
      </w:pPr>
    </w:p>
    <w:p>
      <w:pPr>
        <w:pStyle w:val="23"/>
        <w:spacing w:line="276" w:lineRule="auto"/>
        <w:ind w:left="0"/>
        <w:jc w:val="center"/>
        <w:rPr>
          <w:rFonts w:ascii="宋体" w:hAnsi="宋体"/>
          <w:b/>
          <w:sz w:val="32"/>
        </w:rPr>
      </w:pPr>
    </w:p>
    <w:p>
      <w:pPr>
        <w:pStyle w:val="23"/>
        <w:spacing w:line="276" w:lineRule="auto"/>
        <w:ind w:left="0"/>
        <w:jc w:val="center"/>
        <w:rPr>
          <w:rFonts w:ascii="宋体" w:hAnsi="宋体"/>
          <w:b/>
          <w:sz w:val="32"/>
        </w:rPr>
      </w:pPr>
    </w:p>
    <w:p>
      <w:pPr>
        <w:spacing w:line="276" w:lineRule="auto"/>
        <w:ind w:left="1417" w:leftChars="506"/>
        <w:jc w:val="left"/>
        <w:rPr>
          <w:rFonts w:hint="default" w:ascii="宋体" w:hAnsi="宋体" w:eastAsia="宋体"/>
          <w:b/>
          <w:sz w:val="36"/>
          <w:szCs w:val="22"/>
          <w:lang w:val="en-US" w:eastAsia="zh-CN"/>
        </w:rPr>
      </w:pPr>
      <w:r>
        <w:rPr>
          <w:rFonts w:hint="eastAsia" w:ascii="宋体" w:hAnsi="宋体"/>
          <w:b/>
          <w:sz w:val="36"/>
          <w:szCs w:val="22"/>
        </w:rPr>
        <w:t>项目编号：2022JYXX-</w:t>
      </w:r>
      <w:r>
        <w:rPr>
          <w:rFonts w:hint="eastAsia" w:ascii="宋体" w:hAnsi="宋体"/>
          <w:b/>
          <w:sz w:val="36"/>
          <w:szCs w:val="22"/>
          <w:lang w:val="en-US" w:eastAsia="zh-CN"/>
        </w:rPr>
        <w:t>17</w:t>
      </w:r>
    </w:p>
    <w:p>
      <w:pPr>
        <w:spacing w:line="276" w:lineRule="auto"/>
        <w:ind w:left="1417" w:leftChars="506"/>
        <w:jc w:val="left"/>
        <w:rPr>
          <w:rFonts w:ascii="宋体" w:hAnsi="宋体"/>
          <w:b/>
          <w:sz w:val="36"/>
          <w:szCs w:val="22"/>
        </w:rPr>
      </w:pPr>
      <w:r>
        <w:rPr>
          <w:rFonts w:hint="eastAsia" w:ascii="宋体" w:hAnsi="宋体"/>
          <w:b/>
          <w:sz w:val="36"/>
          <w:szCs w:val="22"/>
        </w:rPr>
        <w:t>项目名称：北碚区远程影像诊断系统维保</w:t>
      </w:r>
    </w:p>
    <w:p>
      <w:pPr>
        <w:spacing w:line="276" w:lineRule="auto"/>
        <w:jc w:val="center"/>
        <w:rPr>
          <w:rFonts w:ascii="宋体" w:hAnsi="宋体"/>
        </w:rPr>
      </w:pPr>
    </w:p>
    <w:p>
      <w:pPr>
        <w:spacing w:line="276" w:lineRule="auto"/>
        <w:jc w:val="center"/>
        <w:rPr>
          <w:rFonts w:ascii="宋体" w:hAnsi="宋体"/>
        </w:rPr>
      </w:pPr>
    </w:p>
    <w:p>
      <w:pPr>
        <w:pStyle w:val="28"/>
        <w:framePr w:wrap="around"/>
      </w:pPr>
    </w:p>
    <w:p/>
    <w:p>
      <w:pPr>
        <w:pStyle w:val="28"/>
        <w:framePr w:wrap="around"/>
      </w:pPr>
    </w:p>
    <w:p/>
    <w:p>
      <w:pPr>
        <w:pStyle w:val="28"/>
        <w:framePr w:wrap="around"/>
      </w:pPr>
    </w:p>
    <w:p/>
    <w:p>
      <w:pPr>
        <w:pStyle w:val="28"/>
        <w:framePr w:wrap="around"/>
      </w:pPr>
    </w:p>
    <w:p/>
    <w:p>
      <w:pPr>
        <w:pStyle w:val="28"/>
        <w:framePr w:wrap="around"/>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ind w:firstLine="2260" w:firstLineChars="628"/>
        <w:jc w:val="left"/>
        <w:rPr>
          <w:rFonts w:ascii="宋体" w:hAnsi="宋体"/>
          <w:sz w:val="36"/>
        </w:rPr>
      </w:pPr>
    </w:p>
    <w:p>
      <w:pPr>
        <w:spacing w:line="276" w:lineRule="auto"/>
        <w:ind w:firstLine="2260" w:firstLineChars="628"/>
        <w:jc w:val="left"/>
        <w:rPr>
          <w:rFonts w:ascii="宋体" w:hAnsi="宋体"/>
          <w:sz w:val="36"/>
        </w:rPr>
      </w:pPr>
    </w:p>
    <w:p>
      <w:pPr>
        <w:spacing w:line="276" w:lineRule="auto"/>
        <w:ind w:firstLine="2260" w:firstLineChars="628"/>
        <w:jc w:val="left"/>
        <w:rPr>
          <w:rFonts w:ascii="宋体" w:hAnsi="宋体"/>
          <w:sz w:val="36"/>
        </w:rPr>
      </w:pPr>
    </w:p>
    <w:p>
      <w:pPr>
        <w:spacing w:line="276" w:lineRule="auto"/>
        <w:ind w:firstLine="2260" w:firstLineChars="628"/>
        <w:jc w:val="left"/>
        <w:rPr>
          <w:rFonts w:ascii="宋体" w:hAnsi="宋体"/>
          <w:sz w:val="36"/>
        </w:rPr>
      </w:pPr>
    </w:p>
    <w:p>
      <w:pPr>
        <w:spacing w:line="276" w:lineRule="auto"/>
        <w:ind w:firstLine="2260" w:firstLineChars="628"/>
        <w:jc w:val="left"/>
        <w:rPr>
          <w:rFonts w:ascii="宋体" w:hAnsi="宋体"/>
          <w:sz w:val="36"/>
        </w:rPr>
      </w:pPr>
    </w:p>
    <w:p>
      <w:pPr>
        <w:spacing w:line="276" w:lineRule="auto"/>
        <w:ind w:firstLine="2260" w:firstLineChars="628"/>
        <w:jc w:val="left"/>
        <w:rPr>
          <w:rFonts w:ascii="宋体" w:hAnsi="宋体"/>
          <w:sz w:val="36"/>
        </w:rPr>
      </w:pPr>
    </w:p>
    <w:p>
      <w:pPr>
        <w:spacing w:line="276" w:lineRule="auto"/>
        <w:ind w:firstLine="2260" w:firstLineChars="628"/>
        <w:jc w:val="left"/>
        <w:rPr>
          <w:rFonts w:ascii="宋体" w:hAnsi="宋体"/>
          <w:sz w:val="36"/>
        </w:rPr>
      </w:pPr>
      <w:r>
        <w:rPr>
          <w:rFonts w:hint="eastAsia" w:ascii="宋体" w:hAnsi="宋体"/>
          <w:sz w:val="36"/>
        </w:rPr>
        <w:t>采购人：重庆市第九人民医院</w:t>
      </w:r>
    </w:p>
    <w:p>
      <w:pPr>
        <w:spacing w:line="276" w:lineRule="auto"/>
        <w:jc w:val="center"/>
        <w:rPr>
          <w:rFonts w:ascii="宋体" w:hAnsi="宋体"/>
          <w:sz w:val="40"/>
          <w:szCs w:val="18"/>
        </w:rPr>
      </w:pPr>
      <w:r>
        <w:rPr>
          <w:rFonts w:hint="eastAsia" w:ascii="宋体" w:hAnsi="宋体"/>
          <w:sz w:val="40"/>
          <w:szCs w:val="18"/>
        </w:rPr>
        <w:t>二〇二二年</w:t>
      </w:r>
      <w:r>
        <w:rPr>
          <w:rFonts w:hint="eastAsia" w:ascii="宋体" w:hAnsi="宋体"/>
          <w:sz w:val="40"/>
          <w:szCs w:val="18"/>
          <w:lang w:eastAsia="zh-CN"/>
        </w:rPr>
        <w:t>三</w:t>
      </w:r>
      <w:r>
        <w:rPr>
          <w:rFonts w:hint="eastAsia" w:ascii="宋体" w:hAnsi="宋体"/>
          <w:sz w:val="40"/>
          <w:szCs w:val="18"/>
        </w:rPr>
        <w:t>月</w:t>
      </w:r>
    </w:p>
    <w:p>
      <w:pPr>
        <w:snapToGrid w:val="0"/>
        <w:spacing w:line="276" w:lineRule="auto"/>
        <w:rPr>
          <w:rFonts w:ascii="宋体" w:hAnsi="宋体"/>
          <w:sz w:val="44"/>
        </w:rPr>
        <w:sectPr>
          <w:headerReference r:id="rId4" w:type="first"/>
          <w:headerReference r:id="rId3" w:type="default"/>
          <w:footerReference r:id="rId5" w:type="default"/>
          <w:footerReference r:id="rId6" w:type="even"/>
          <w:pgSz w:w="11907" w:h="16840"/>
          <w:pgMar w:top="1134" w:right="1191" w:bottom="1134" w:left="1304" w:header="964" w:footer="992" w:gutter="0"/>
          <w:pgBorders>
            <w:top w:val="none" w:sz="0" w:space="0"/>
            <w:left w:val="none" w:sz="0" w:space="0"/>
            <w:bottom w:val="none" w:sz="0" w:space="0"/>
            <w:right w:val="none" w:sz="0" w:space="0"/>
          </w:pgBorders>
          <w:pgNumType w:start="1"/>
          <w:cols w:space="720" w:num="1"/>
          <w:titlePg/>
          <w:docGrid w:linePitch="312" w:charSpace="0"/>
        </w:sectPr>
      </w:pPr>
    </w:p>
    <w:p>
      <w:pPr>
        <w:snapToGrid w:val="0"/>
        <w:spacing w:line="276" w:lineRule="auto"/>
        <w:jc w:val="center"/>
        <w:rPr>
          <w:rFonts w:ascii="宋体" w:hAnsi="宋体"/>
          <w:sz w:val="44"/>
        </w:rPr>
      </w:pPr>
      <w:r>
        <w:rPr>
          <w:rFonts w:hint="eastAsia" w:ascii="宋体" w:hAnsi="宋体"/>
          <w:sz w:val="44"/>
        </w:rPr>
        <w:t>目  录</w:t>
      </w:r>
    </w:p>
    <w:p>
      <w:pPr>
        <w:pStyle w:val="38"/>
        <w:tabs>
          <w:tab w:val="right" w:leader="dot" w:pos="9412"/>
          <w:tab w:val="clear" w:pos="1260"/>
          <w:tab w:val="clear" w:pos="1685"/>
          <w:tab w:val="clear" w:pos="8400"/>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"1-2" \h \z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_Toc24322 </w:instrText>
      </w:r>
      <w:r>
        <w:rPr>
          <w:rFonts w:hint="eastAsia" w:ascii="宋体" w:hAnsi="宋体" w:eastAsia="宋体" w:cs="宋体"/>
          <w:szCs w:val="24"/>
        </w:rPr>
        <w:fldChar w:fldCharType="separate"/>
      </w:r>
      <w:r>
        <w:rPr>
          <w:rFonts w:hint="default" w:ascii="宋体" w:hAnsi="宋体" w:eastAsia="宋体"/>
        </w:rPr>
        <w:t xml:space="preserve">第一篇 </w:t>
      </w:r>
      <w:r>
        <w:rPr>
          <w:rFonts w:hint="eastAsia" w:ascii="宋体" w:hAnsi="宋体" w:eastAsia="宋体"/>
        </w:rPr>
        <w:t>竞争性比选邀请书</w:t>
      </w:r>
      <w:r>
        <w:tab/>
      </w:r>
      <w:r>
        <w:fldChar w:fldCharType="begin"/>
      </w:r>
      <w:r>
        <w:instrText xml:space="preserve"> PAGEREF _Toc24322 \h </w:instrText>
      </w:r>
      <w:r>
        <w:fldChar w:fldCharType="separate"/>
      </w:r>
      <w:r>
        <w:t>- 3 -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_Toc15024 </w:instrText>
      </w:r>
      <w:r>
        <w:rPr>
          <w:rFonts w:hint="eastAsia" w:ascii="宋体" w:hAnsi="宋体" w:eastAsia="宋体" w:cs="宋体"/>
          <w:szCs w:val="24"/>
        </w:rPr>
        <w:fldChar w:fldCharType="separate"/>
      </w:r>
      <w:r>
        <w:rPr>
          <w:rFonts w:hint="eastAsia"/>
          <w:szCs w:val="28"/>
        </w:rPr>
        <w:t>一、项目内容</w:t>
      </w:r>
      <w:r>
        <w:tab/>
      </w:r>
      <w:r>
        <w:fldChar w:fldCharType="begin"/>
      </w:r>
      <w:r>
        <w:instrText xml:space="preserve"> PAGEREF _Toc15024 \h </w:instrText>
      </w:r>
      <w:r>
        <w:fldChar w:fldCharType="separate"/>
      </w:r>
      <w:r>
        <w:t>- 3 -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_Toc18273 </w:instrText>
      </w:r>
      <w:r>
        <w:rPr>
          <w:rFonts w:hint="eastAsia" w:ascii="宋体" w:hAnsi="宋体" w:eastAsia="宋体" w:cs="宋体"/>
          <w:szCs w:val="24"/>
        </w:rPr>
        <w:fldChar w:fldCharType="separate"/>
      </w:r>
      <w:r>
        <w:rPr>
          <w:rFonts w:hint="eastAsia"/>
          <w:szCs w:val="28"/>
        </w:rPr>
        <w:t>二、供应商资格要求</w:t>
      </w:r>
      <w:r>
        <w:tab/>
      </w:r>
      <w:r>
        <w:fldChar w:fldCharType="begin"/>
      </w:r>
      <w:r>
        <w:instrText xml:space="preserve"> PAGEREF _Toc18273 \h </w:instrText>
      </w:r>
      <w:r>
        <w:fldChar w:fldCharType="separate"/>
      </w:r>
      <w:r>
        <w:t>- 3 -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_Toc28176 </w:instrText>
      </w:r>
      <w:r>
        <w:rPr>
          <w:rFonts w:hint="eastAsia" w:ascii="宋体" w:hAnsi="宋体" w:eastAsia="宋体" w:cs="宋体"/>
          <w:szCs w:val="24"/>
        </w:rPr>
        <w:fldChar w:fldCharType="separate"/>
      </w:r>
      <w:r>
        <w:rPr>
          <w:rFonts w:hint="eastAsia"/>
          <w:szCs w:val="28"/>
        </w:rPr>
        <w:t>三、投标报名</w:t>
      </w:r>
      <w:r>
        <w:tab/>
      </w:r>
      <w:r>
        <w:fldChar w:fldCharType="begin"/>
      </w:r>
      <w:r>
        <w:instrText xml:space="preserve"> PAGEREF _Toc28176 \h </w:instrText>
      </w:r>
      <w:r>
        <w:fldChar w:fldCharType="separate"/>
      </w:r>
      <w:r>
        <w:t>- 3 -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_Toc20463 </w:instrText>
      </w:r>
      <w:r>
        <w:rPr>
          <w:rFonts w:hint="eastAsia" w:ascii="宋体" w:hAnsi="宋体" w:eastAsia="宋体" w:cs="宋体"/>
          <w:szCs w:val="24"/>
        </w:rPr>
        <w:fldChar w:fldCharType="separate"/>
      </w:r>
      <w:r>
        <w:rPr>
          <w:rFonts w:hint="eastAsia"/>
          <w:szCs w:val="28"/>
        </w:rPr>
        <w:t>四、投标文件递交与比选</w:t>
      </w:r>
      <w:r>
        <w:tab/>
      </w:r>
      <w:r>
        <w:fldChar w:fldCharType="begin"/>
      </w:r>
      <w:r>
        <w:instrText xml:space="preserve"> PAGEREF _Toc20463 \h </w:instrText>
      </w:r>
      <w:r>
        <w:fldChar w:fldCharType="separate"/>
      </w:r>
      <w:r>
        <w:t>- 4 -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_Toc13309 </w:instrText>
      </w:r>
      <w:r>
        <w:rPr>
          <w:rFonts w:hint="eastAsia" w:ascii="宋体" w:hAnsi="宋体" w:eastAsia="宋体" w:cs="宋体"/>
          <w:szCs w:val="24"/>
        </w:rPr>
        <w:fldChar w:fldCharType="separate"/>
      </w:r>
      <w:r>
        <w:rPr>
          <w:rFonts w:hint="eastAsia"/>
          <w:szCs w:val="28"/>
        </w:rPr>
        <w:t>五、采购人联系方式</w:t>
      </w:r>
      <w:r>
        <w:tab/>
      </w:r>
      <w:r>
        <w:fldChar w:fldCharType="begin"/>
      </w:r>
      <w:r>
        <w:instrText xml:space="preserve"> PAGEREF _Toc13309 \h </w:instrText>
      </w:r>
      <w:r>
        <w:fldChar w:fldCharType="separate"/>
      </w:r>
      <w:r>
        <w:t>- 4 -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_Toc2176 </w:instrText>
      </w:r>
      <w:r>
        <w:rPr>
          <w:rFonts w:hint="eastAsia" w:ascii="宋体" w:hAnsi="宋体" w:eastAsia="宋体" w:cs="宋体"/>
          <w:szCs w:val="24"/>
        </w:rPr>
        <w:fldChar w:fldCharType="separate"/>
      </w:r>
      <w:r>
        <w:rPr>
          <w:rFonts w:hint="eastAsia"/>
          <w:szCs w:val="28"/>
        </w:rPr>
        <w:t>六、比选保证金</w:t>
      </w:r>
      <w:r>
        <w:tab/>
      </w:r>
      <w:r>
        <w:fldChar w:fldCharType="begin"/>
      </w:r>
      <w:r>
        <w:instrText xml:space="preserve"> PAGEREF _Toc2176 \h </w:instrText>
      </w:r>
      <w:r>
        <w:fldChar w:fldCharType="separate"/>
      </w:r>
      <w:r>
        <w:t>- 4 -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_Toc28640 </w:instrText>
      </w:r>
      <w:r>
        <w:rPr>
          <w:rFonts w:hint="eastAsia" w:ascii="宋体" w:hAnsi="宋体" w:eastAsia="宋体" w:cs="宋体"/>
          <w:szCs w:val="24"/>
        </w:rPr>
        <w:fldChar w:fldCharType="separate"/>
      </w:r>
      <w:r>
        <w:rPr>
          <w:rFonts w:hint="eastAsia"/>
          <w:szCs w:val="28"/>
        </w:rPr>
        <w:t>七、采购项目需落实的政府采购政策</w:t>
      </w:r>
      <w:r>
        <w:tab/>
      </w:r>
      <w:r>
        <w:fldChar w:fldCharType="begin"/>
      </w:r>
      <w:r>
        <w:instrText xml:space="preserve"> PAGEREF _Toc28640 \h </w:instrText>
      </w:r>
      <w:r>
        <w:fldChar w:fldCharType="separate"/>
      </w:r>
      <w:r>
        <w:t>- 5 -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_Toc5686 </w:instrText>
      </w:r>
      <w:r>
        <w:rPr>
          <w:rFonts w:hint="eastAsia" w:ascii="宋体" w:hAnsi="宋体" w:eastAsia="宋体" w:cs="宋体"/>
          <w:szCs w:val="24"/>
        </w:rPr>
        <w:fldChar w:fldCharType="separate"/>
      </w:r>
      <w:r>
        <w:rPr>
          <w:rFonts w:hint="eastAsia"/>
          <w:szCs w:val="28"/>
        </w:rPr>
        <w:t>八、比选有关规定</w:t>
      </w:r>
      <w:r>
        <w:tab/>
      </w:r>
      <w:r>
        <w:fldChar w:fldCharType="begin"/>
      </w:r>
      <w:r>
        <w:instrText xml:space="preserve"> PAGEREF _Toc5686 \h </w:instrText>
      </w:r>
      <w:r>
        <w:fldChar w:fldCharType="separate"/>
      </w:r>
      <w:r>
        <w:t>- 5 -</w:t>
      </w:r>
      <w:r>
        <w:fldChar w:fldCharType="end"/>
      </w:r>
      <w:r>
        <w:rPr>
          <w:rFonts w:hint="eastAsia" w:ascii="宋体" w:hAnsi="宋体" w:eastAsia="宋体" w:cs="宋体"/>
          <w:szCs w:val="24"/>
        </w:rPr>
        <w:fldChar w:fldCharType="end"/>
      </w:r>
    </w:p>
    <w:p>
      <w:pPr>
        <w:pStyle w:val="38"/>
        <w:tabs>
          <w:tab w:val="right" w:leader="dot" w:pos="9412"/>
          <w:tab w:val="clear" w:pos="1260"/>
          <w:tab w:val="clear" w:pos="1685"/>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_Toc11332 </w:instrText>
      </w:r>
      <w:r>
        <w:rPr>
          <w:rFonts w:hint="eastAsia" w:ascii="宋体" w:hAnsi="宋体" w:eastAsia="宋体" w:cs="宋体"/>
          <w:szCs w:val="24"/>
        </w:rPr>
        <w:fldChar w:fldCharType="separate"/>
      </w:r>
      <w:r>
        <w:rPr>
          <w:rFonts w:hint="default" w:ascii="宋体" w:hAnsi="宋体" w:eastAsia="宋体"/>
        </w:rPr>
        <w:t xml:space="preserve">第二篇 </w:t>
      </w:r>
      <w:r>
        <w:rPr>
          <w:rFonts w:hint="eastAsia" w:ascii="宋体" w:hAnsi="宋体" w:eastAsia="宋体"/>
        </w:rPr>
        <w:t>维保技术要求</w:t>
      </w:r>
      <w:r>
        <w:tab/>
      </w:r>
      <w:r>
        <w:fldChar w:fldCharType="begin"/>
      </w:r>
      <w:r>
        <w:instrText xml:space="preserve"> PAGEREF _Toc11332 \h </w:instrText>
      </w:r>
      <w:r>
        <w:fldChar w:fldCharType="separate"/>
      </w:r>
      <w:r>
        <w:t>- 6 -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_Toc13205 </w:instrText>
      </w:r>
      <w:r>
        <w:rPr>
          <w:rFonts w:hint="eastAsia" w:ascii="宋体" w:hAnsi="宋体" w:eastAsia="宋体" w:cs="宋体"/>
          <w:szCs w:val="24"/>
        </w:rPr>
        <w:fldChar w:fldCharType="separate"/>
      </w:r>
      <w:r>
        <w:rPr>
          <w:rFonts w:hint="eastAsia"/>
          <w:szCs w:val="22"/>
        </w:rPr>
        <w:t>第一部分 技术要求</w:t>
      </w:r>
      <w:r>
        <w:tab/>
      </w:r>
      <w:r>
        <w:fldChar w:fldCharType="begin"/>
      </w:r>
      <w:r>
        <w:instrText xml:space="preserve"> PAGEREF _Toc13205 \h </w:instrText>
      </w:r>
      <w:r>
        <w:fldChar w:fldCharType="separate"/>
      </w:r>
      <w:r>
        <w:t>- 6 -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_Toc21280 </w:instrText>
      </w:r>
      <w:r>
        <w:rPr>
          <w:rFonts w:hint="eastAsia" w:ascii="宋体" w:hAnsi="宋体" w:eastAsia="宋体" w:cs="宋体"/>
          <w:szCs w:val="24"/>
        </w:rPr>
        <w:fldChar w:fldCharType="separate"/>
      </w:r>
      <w:r>
        <w:rPr>
          <w:rFonts w:hint="eastAsia"/>
          <w:szCs w:val="22"/>
        </w:rPr>
        <w:t>第二部分 商务要求</w:t>
      </w:r>
      <w:r>
        <w:tab/>
      </w:r>
      <w:r>
        <w:fldChar w:fldCharType="begin"/>
      </w:r>
      <w:r>
        <w:instrText xml:space="preserve"> PAGEREF _Toc21280 \h </w:instrText>
      </w:r>
      <w:r>
        <w:fldChar w:fldCharType="separate"/>
      </w:r>
      <w:r>
        <w:t>- 9 -</w:t>
      </w:r>
      <w:r>
        <w:fldChar w:fldCharType="end"/>
      </w:r>
      <w:r>
        <w:rPr>
          <w:rFonts w:hint="eastAsia" w:ascii="宋体" w:hAnsi="宋体" w:eastAsia="宋体" w:cs="宋体"/>
          <w:szCs w:val="24"/>
        </w:rPr>
        <w:fldChar w:fldCharType="end"/>
      </w:r>
    </w:p>
    <w:p>
      <w:pPr>
        <w:pStyle w:val="38"/>
        <w:tabs>
          <w:tab w:val="right" w:leader="dot" w:pos="9412"/>
          <w:tab w:val="clear" w:pos="1260"/>
          <w:tab w:val="clear" w:pos="1685"/>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_Toc24122 </w:instrText>
      </w:r>
      <w:r>
        <w:rPr>
          <w:rFonts w:hint="eastAsia" w:ascii="宋体" w:hAnsi="宋体" w:eastAsia="宋体" w:cs="宋体"/>
          <w:szCs w:val="24"/>
        </w:rPr>
        <w:fldChar w:fldCharType="separate"/>
      </w:r>
      <w:r>
        <w:rPr>
          <w:rFonts w:hint="default" w:ascii="宋体" w:hAnsi="宋体" w:eastAsia="宋体"/>
          <w:lang w:val="en-US" w:eastAsia="zh-CN"/>
        </w:rPr>
        <w:t xml:space="preserve">第三篇 </w:t>
      </w:r>
      <w:r>
        <w:rPr>
          <w:rFonts w:hint="eastAsia" w:ascii="宋体" w:hAnsi="宋体" w:eastAsia="宋体"/>
          <w:lang w:val="en-US" w:eastAsia="zh-CN"/>
        </w:rPr>
        <w:t>评审程序、评审方法和评审标准</w:t>
      </w:r>
      <w:r>
        <w:tab/>
      </w:r>
      <w:r>
        <w:fldChar w:fldCharType="begin"/>
      </w:r>
      <w:r>
        <w:instrText xml:space="preserve"> PAGEREF _Toc24122 \h </w:instrText>
      </w:r>
      <w:r>
        <w:fldChar w:fldCharType="separate"/>
      </w:r>
      <w:r>
        <w:t>- 13 -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_Toc8495 </w:instrText>
      </w:r>
      <w:r>
        <w:rPr>
          <w:rFonts w:hint="eastAsia" w:ascii="宋体" w:hAnsi="宋体" w:eastAsia="宋体" w:cs="宋体"/>
          <w:szCs w:val="24"/>
        </w:rPr>
        <w:fldChar w:fldCharType="separate"/>
      </w:r>
      <w:r>
        <w:rPr>
          <w:rFonts w:hint="eastAsia"/>
          <w:szCs w:val="28"/>
        </w:rPr>
        <w:t>一、评审程序</w:t>
      </w:r>
      <w:r>
        <w:tab/>
      </w:r>
      <w:r>
        <w:fldChar w:fldCharType="begin"/>
      </w:r>
      <w:r>
        <w:instrText xml:space="preserve"> PAGEREF _Toc8495 \h </w:instrText>
      </w:r>
      <w:r>
        <w:fldChar w:fldCharType="separate"/>
      </w:r>
      <w:r>
        <w:t>- 13 -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_Toc1846 </w:instrText>
      </w:r>
      <w:r>
        <w:rPr>
          <w:rFonts w:hint="eastAsia" w:ascii="宋体" w:hAnsi="宋体" w:eastAsia="宋体" w:cs="宋体"/>
          <w:szCs w:val="24"/>
        </w:rPr>
        <w:fldChar w:fldCharType="separate"/>
      </w:r>
      <w:r>
        <w:rPr>
          <w:rFonts w:hint="eastAsia"/>
          <w:szCs w:val="28"/>
        </w:rPr>
        <w:t>二、评审方法</w:t>
      </w:r>
      <w:r>
        <w:tab/>
      </w:r>
      <w:r>
        <w:fldChar w:fldCharType="begin"/>
      </w:r>
      <w:r>
        <w:instrText xml:space="preserve"> PAGEREF _Toc1846 \h </w:instrText>
      </w:r>
      <w:r>
        <w:fldChar w:fldCharType="separate"/>
      </w:r>
      <w:r>
        <w:t>- 14 -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_Toc30046 </w:instrText>
      </w:r>
      <w:r>
        <w:rPr>
          <w:rFonts w:hint="eastAsia" w:ascii="宋体" w:hAnsi="宋体" w:eastAsia="宋体" w:cs="宋体"/>
          <w:szCs w:val="24"/>
        </w:rPr>
        <w:fldChar w:fldCharType="separate"/>
      </w:r>
      <w:r>
        <w:rPr>
          <w:rFonts w:hint="eastAsia"/>
          <w:szCs w:val="28"/>
          <w:lang w:val="en-US" w:eastAsia="zh-CN"/>
        </w:rPr>
        <w:t>三</w:t>
      </w:r>
      <w:r>
        <w:rPr>
          <w:rFonts w:hint="eastAsia"/>
          <w:szCs w:val="28"/>
        </w:rPr>
        <w:t>、评审</w:t>
      </w:r>
      <w:r>
        <w:rPr>
          <w:rFonts w:hint="eastAsia"/>
          <w:szCs w:val="28"/>
          <w:lang w:val="en-US" w:eastAsia="zh-CN"/>
        </w:rPr>
        <w:t>标准</w:t>
      </w:r>
      <w:r>
        <w:tab/>
      </w:r>
      <w:r>
        <w:fldChar w:fldCharType="begin"/>
      </w:r>
      <w:r>
        <w:instrText xml:space="preserve"> PAGEREF _Toc30046 \h </w:instrText>
      </w:r>
      <w:r>
        <w:fldChar w:fldCharType="separate"/>
      </w:r>
      <w:r>
        <w:t>- 15 -</w:t>
      </w:r>
      <w:r>
        <w:fldChar w:fldCharType="end"/>
      </w:r>
      <w:r>
        <w:rPr>
          <w:rFonts w:hint="eastAsia" w:ascii="宋体" w:hAnsi="宋体" w:eastAsia="宋体" w:cs="宋体"/>
          <w:szCs w:val="24"/>
        </w:rPr>
        <w:fldChar w:fldCharType="end"/>
      </w:r>
    </w:p>
    <w:p>
      <w:pPr>
        <w:pStyle w:val="38"/>
        <w:tabs>
          <w:tab w:val="right" w:leader="dot" w:pos="9412"/>
          <w:tab w:val="clear" w:pos="1260"/>
          <w:tab w:val="clear" w:pos="1685"/>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_Toc865 </w:instrText>
      </w:r>
      <w:r>
        <w:rPr>
          <w:rFonts w:hint="eastAsia" w:ascii="宋体" w:hAnsi="宋体" w:eastAsia="宋体" w:cs="宋体"/>
          <w:szCs w:val="24"/>
        </w:rPr>
        <w:fldChar w:fldCharType="separate"/>
      </w:r>
      <w:r>
        <w:rPr>
          <w:rFonts w:hint="eastAsia" w:ascii="宋体" w:hAnsi="宋体" w:eastAsia="宋体"/>
          <w:lang w:val="en-US" w:eastAsia="zh-CN"/>
        </w:rPr>
        <w:t>第四篇 供应商须知</w:t>
      </w:r>
      <w:r>
        <w:tab/>
      </w:r>
      <w:r>
        <w:fldChar w:fldCharType="begin"/>
      </w:r>
      <w:r>
        <w:instrText xml:space="preserve"> PAGEREF _Toc865 \h </w:instrText>
      </w:r>
      <w:r>
        <w:fldChar w:fldCharType="separate"/>
      </w:r>
      <w:r>
        <w:t>- 19 -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_Toc25688 </w:instrText>
      </w:r>
      <w:r>
        <w:rPr>
          <w:rFonts w:hint="eastAsia" w:ascii="宋体" w:hAnsi="宋体" w:eastAsia="宋体" w:cs="宋体"/>
          <w:szCs w:val="24"/>
        </w:rPr>
        <w:fldChar w:fldCharType="separate"/>
      </w:r>
      <w:r>
        <w:rPr>
          <w:rFonts w:hint="eastAsia"/>
          <w:szCs w:val="21"/>
        </w:rPr>
        <w:t>一、供应商</w:t>
      </w:r>
      <w:r>
        <w:tab/>
      </w:r>
      <w:r>
        <w:fldChar w:fldCharType="begin"/>
      </w:r>
      <w:r>
        <w:instrText xml:space="preserve"> PAGEREF _Toc25688 \h </w:instrText>
      </w:r>
      <w:r>
        <w:fldChar w:fldCharType="separate"/>
      </w:r>
      <w:r>
        <w:t>- 19 -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_Toc8991 </w:instrText>
      </w:r>
      <w:r>
        <w:rPr>
          <w:rFonts w:hint="eastAsia" w:ascii="宋体" w:hAnsi="宋体" w:eastAsia="宋体" w:cs="宋体"/>
          <w:szCs w:val="24"/>
        </w:rPr>
        <w:fldChar w:fldCharType="separate"/>
      </w:r>
      <w:r>
        <w:rPr>
          <w:rFonts w:hint="eastAsia"/>
          <w:szCs w:val="21"/>
        </w:rPr>
        <w:t>二、比选文件</w:t>
      </w:r>
      <w:r>
        <w:tab/>
      </w:r>
      <w:r>
        <w:fldChar w:fldCharType="begin"/>
      </w:r>
      <w:r>
        <w:instrText xml:space="preserve"> PAGEREF _Toc8991 \h </w:instrText>
      </w:r>
      <w:r>
        <w:fldChar w:fldCharType="separate"/>
      </w:r>
      <w:r>
        <w:t>- 19 -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_Toc31156 </w:instrText>
      </w:r>
      <w:r>
        <w:rPr>
          <w:rFonts w:hint="eastAsia" w:ascii="宋体" w:hAnsi="宋体" w:eastAsia="宋体" w:cs="宋体"/>
          <w:szCs w:val="24"/>
        </w:rPr>
        <w:fldChar w:fldCharType="separate"/>
      </w:r>
      <w:r>
        <w:rPr>
          <w:rFonts w:hint="eastAsia"/>
        </w:rPr>
        <w:t>三、响应文件</w:t>
      </w:r>
      <w:r>
        <w:tab/>
      </w:r>
      <w:r>
        <w:fldChar w:fldCharType="begin"/>
      </w:r>
      <w:r>
        <w:instrText xml:space="preserve"> PAGEREF _Toc31156 \h </w:instrText>
      </w:r>
      <w:r>
        <w:fldChar w:fldCharType="separate"/>
      </w:r>
      <w:r>
        <w:t>- 19 -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_Toc21866 </w:instrText>
      </w:r>
      <w:r>
        <w:rPr>
          <w:rFonts w:hint="eastAsia" w:ascii="宋体" w:hAnsi="宋体" w:eastAsia="宋体" w:cs="宋体"/>
          <w:szCs w:val="24"/>
        </w:rPr>
        <w:fldChar w:fldCharType="separate"/>
      </w:r>
      <w:r>
        <w:rPr>
          <w:rFonts w:hint="eastAsia"/>
          <w:szCs w:val="21"/>
        </w:rPr>
        <w:t>四、竞争性比选程序</w:t>
      </w:r>
      <w:r>
        <w:tab/>
      </w:r>
      <w:r>
        <w:fldChar w:fldCharType="begin"/>
      </w:r>
      <w:r>
        <w:instrText xml:space="preserve"> PAGEREF _Toc21866 \h </w:instrText>
      </w:r>
      <w:r>
        <w:fldChar w:fldCharType="separate"/>
      </w:r>
      <w:r>
        <w:t>- 21 -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_Toc6996 </w:instrText>
      </w:r>
      <w:r>
        <w:rPr>
          <w:rFonts w:hint="eastAsia" w:ascii="宋体" w:hAnsi="宋体" w:eastAsia="宋体" w:cs="宋体"/>
          <w:szCs w:val="24"/>
        </w:rPr>
        <w:fldChar w:fldCharType="separate"/>
      </w:r>
      <w:r>
        <w:rPr>
          <w:rFonts w:hint="eastAsia"/>
          <w:szCs w:val="21"/>
        </w:rPr>
        <w:t>五、确定成交供应商</w:t>
      </w:r>
      <w:r>
        <w:tab/>
      </w:r>
      <w:r>
        <w:fldChar w:fldCharType="begin"/>
      </w:r>
      <w:r>
        <w:instrText xml:space="preserve"> PAGEREF _Toc6996 \h </w:instrText>
      </w:r>
      <w:r>
        <w:fldChar w:fldCharType="separate"/>
      </w:r>
      <w:r>
        <w:t>- 22 -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_Toc6182 </w:instrText>
      </w:r>
      <w:r>
        <w:rPr>
          <w:rFonts w:hint="eastAsia" w:ascii="宋体" w:hAnsi="宋体" w:eastAsia="宋体" w:cs="宋体"/>
          <w:szCs w:val="24"/>
        </w:rPr>
        <w:fldChar w:fldCharType="separate"/>
      </w:r>
      <w:r>
        <w:rPr>
          <w:rFonts w:hint="eastAsia"/>
          <w:szCs w:val="21"/>
        </w:rPr>
        <w:t>六、成交通知书</w:t>
      </w:r>
      <w:r>
        <w:tab/>
      </w:r>
      <w:r>
        <w:fldChar w:fldCharType="begin"/>
      </w:r>
      <w:r>
        <w:instrText xml:space="preserve"> PAGEREF _Toc6182 \h </w:instrText>
      </w:r>
      <w:r>
        <w:fldChar w:fldCharType="separate"/>
      </w:r>
      <w:r>
        <w:t>- 23 -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_Toc26864 </w:instrText>
      </w:r>
      <w:r>
        <w:rPr>
          <w:rFonts w:hint="eastAsia" w:ascii="宋体" w:hAnsi="宋体" w:eastAsia="宋体" w:cs="宋体"/>
          <w:szCs w:val="24"/>
        </w:rPr>
        <w:fldChar w:fldCharType="separate"/>
      </w:r>
      <w:r>
        <w:rPr>
          <w:rFonts w:hint="eastAsia"/>
          <w:szCs w:val="21"/>
        </w:rPr>
        <w:t>七、关于质疑和投诉</w:t>
      </w:r>
      <w:r>
        <w:tab/>
      </w:r>
      <w:r>
        <w:fldChar w:fldCharType="begin"/>
      </w:r>
      <w:r>
        <w:instrText xml:space="preserve"> PAGEREF _Toc26864 \h </w:instrText>
      </w:r>
      <w:r>
        <w:fldChar w:fldCharType="separate"/>
      </w:r>
      <w:r>
        <w:t>- 23 -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_Toc18433 </w:instrText>
      </w:r>
      <w:r>
        <w:rPr>
          <w:rFonts w:hint="eastAsia" w:ascii="宋体" w:hAnsi="宋体" w:eastAsia="宋体" w:cs="宋体"/>
          <w:szCs w:val="24"/>
        </w:rPr>
        <w:fldChar w:fldCharType="separate"/>
      </w:r>
      <w:r>
        <w:rPr>
          <w:rFonts w:hint="eastAsia"/>
          <w:szCs w:val="21"/>
        </w:rPr>
        <w:t>八、签订合同</w:t>
      </w:r>
      <w:r>
        <w:tab/>
      </w:r>
      <w:r>
        <w:fldChar w:fldCharType="begin"/>
      </w:r>
      <w:r>
        <w:instrText xml:space="preserve"> PAGEREF _Toc18433 \h </w:instrText>
      </w:r>
      <w:r>
        <w:fldChar w:fldCharType="separate"/>
      </w:r>
      <w:r>
        <w:t>- 24 -</w:t>
      </w:r>
      <w:r>
        <w:fldChar w:fldCharType="end"/>
      </w:r>
      <w:r>
        <w:rPr>
          <w:rFonts w:hint="eastAsia" w:ascii="宋体" w:hAnsi="宋体" w:eastAsia="宋体" w:cs="宋体"/>
          <w:szCs w:val="24"/>
        </w:rPr>
        <w:fldChar w:fldCharType="end"/>
      </w:r>
    </w:p>
    <w:p>
      <w:pPr>
        <w:pStyle w:val="38"/>
        <w:tabs>
          <w:tab w:val="right" w:leader="dot" w:pos="9412"/>
          <w:tab w:val="clear" w:pos="1260"/>
          <w:tab w:val="clear" w:pos="1685"/>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_Toc240 </w:instrText>
      </w:r>
      <w:r>
        <w:rPr>
          <w:rFonts w:hint="eastAsia" w:ascii="宋体" w:hAnsi="宋体" w:eastAsia="宋体" w:cs="宋体"/>
          <w:szCs w:val="24"/>
        </w:rPr>
        <w:fldChar w:fldCharType="separate"/>
      </w:r>
      <w:r>
        <w:rPr>
          <w:rFonts w:hint="eastAsia" w:ascii="宋体" w:hAnsi="宋体" w:eastAsia="宋体"/>
          <w:lang w:val="en-US" w:eastAsia="zh-CN"/>
        </w:rPr>
        <w:t>第五篇 合同</w:t>
      </w:r>
      <w:r>
        <w:tab/>
      </w:r>
      <w:r>
        <w:fldChar w:fldCharType="begin"/>
      </w:r>
      <w:r>
        <w:instrText xml:space="preserve"> PAGEREF _Toc240 \h </w:instrText>
      </w:r>
      <w:r>
        <w:fldChar w:fldCharType="separate"/>
      </w:r>
      <w:r>
        <w:t>- 25 -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_Toc13425 </w:instrText>
      </w:r>
      <w:r>
        <w:rPr>
          <w:rFonts w:hint="eastAsia" w:ascii="宋体" w:hAnsi="宋体" w:eastAsia="宋体" w:cs="宋体"/>
          <w:szCs w:val="24"/>
        </w:rPr>
        <w:fldChar w:fldCharType="separate"/>
      </w:r>
      <w:r>
        <w:rPr>
          <w:rFonts w:hint="eastAsia"/>
          <w:szCs w:val="28"/>
        </w:rPr>
        <w:t>第一条：合同范围</w:t>
      </w:r>
      <w:r>
        <w:tab/>
      </w:r>
      <w:r>
        <w:fldChar w:fldCharType="begin"/>
      </w:r>
      <w:r>
        <w:instrText xml:space="preserve"> PAGEREF _Toc13425 \h </w:instrText>
      </w:r>
      <w:r>
        <w:fldChar w:fldCharType="separate"/>
      </w:r>
      <w:r>
        <w:t>- 25 -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_Toc7411 </w:instrText>
      </w:r>
      <w:r>
        <w:rPr>
          <w:rFonts w:hint="eastAsia" w:ascii="宋体" w:hAnsi="宋体" w:eastAsia="宋体" w:cs="宋体"/>
          <w:szCs w:val="24"/>
        </w:rPr>
        <w:fldChar w:fldCharType="separate"/>
      </w:r>
      <w:r>
        <w:rPr>
          <w:rFonts w:hint="eastAsia"/>
          <w:szCs w:val="28"/>
          <w:lang w:val="en-US" w:eastAsia="zh-CN"/>
        </w:rPr>
        <w:t>第二条：结算与付款</w:t>
      </w:r>
      <w:r>
        <w:tab/>
      </w:r>
      <w:r>
        <w:fldChar w:fldCharType="begin"/>
      </w:r>
      <w:r>
        <w:instrText xml:space="preserve"> PAGEREF _Toc7411 \h </w:instrText>
      </w:r>
      <w:r>
        <w:fldChar w:fldCharType="separate"/>
      </w:r>
      <w:r>
        <w:t>- 25 -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_Toc16528 </w:instrText>
      </w:r>
      <w:r>
        <w:rPr>
          <w:rFonts w:hint="eastAsia" w:ascii="宋体" w:hAnsi="宋体" w:eastAsia="宋体" w:cs="宋体"/>
          <w:szCs w:val="24"/>
        </w:rPr>
        <w:fldChar w:fldCharType="separate"/>
      </w:r>
      <w:r>
        <w:rPr>
          <w:rFonts w:hint="eastAsia"/>
          <w:szCs w:val="28"/>
        </w:rPr>
        <w:t>第</w:t>
      </w:r>
      <w:r>
        <w:rPr>
          <w:rFonts w:hint="eastAsia"/>
          <w:szCs w:val="28"/>
          <w:lang w:val="en-US" w:eastAsia="zh-CN"/>
        </w:rPr>
        <w:t>三</w:t>
      </w:r>
      <w:r>
        <w:rPr>
          <w:rFonts w:hint="eastAsia"/>
          <w:szCs w:val="28"/>
        </w:rPr>
        <w:t>条：合同期限与终止</w:t>
      </w:r>
      <w:r>
        <w:tab/>
      </w:r>
      <w:r>
        <w:fldChar w:fldCharType="begin"/>
      </w:r>
      <w:r>
        <w:instrText xml:space="preserve"> PAGEREF _Toc16528 \h </w:instrText>
      </w:r>
      <w:r>
        <w:fldChar w:fldCharType="separate"/>
      </w:r>
      <w:r>
        <w:t>- 25 -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_Toc19386 </w:instrText>
      </w:r>
      <w:r>
        <w:rPr>
          <w:rFonts w:hint="eastAsia" w:ascii="宋体" w:hAnsi="宋体" w:eastAsia="宋体" w:cs="宋体"/>
          <w:szCs w:val="24"/>
        </w:rPr>
        <w:fldChar w:fldCharType="separate"/>
      </w:r>
      <w:r>
        <w:rPr>
          <w:rFonts w:hint="eastAsia"/>
          <w:szCs w:val="28"/>
        </w:rPr>
        <w:t>第</w:t>
      </w:r>
      <w:r>
        <w:rPr>
          <w:rFonts w:hint="eastAsia"/>
          <w:szCs w:val="28"/>
          <w:lang w:val="en-US" w:eastAsia="zh-CN"/>
        </w:rPr>
        <w:t>四</w:t>
      </w:r>
      <w:r>
        <w:rPr>
          <w:rFonts w:hint="eastAsia"/>
          <w:szCs w:val="28"/>
        </w:rPr>
        <w:t>条、维保要求</w:t>
      </w:r>
      <w:r>
        <w:tab/>
      </w:r>
      <w:r>
        <w:fldChar w:fldCharType="begin"/>
      </w:r>
      <w:r>
        <w:instrText xml:space="preserve"> PAGEREF _Toc19386 \h </w:instrText>
      </w:r>
      <w:r>
        <w:fldChar w:fldCharType="separate"/>
      </w:r>
      <w:r>
        <w:t>- 26 -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_Toc24550 </w:instrText>
      </w:r>
      <w:r>
        <w:rPr>
          <w:rFonts w:hint="eastAsia" w:ascii="宋体" w:hAnsi="宋体" w:eastAsia="宋体" w:cs="宋体"/>
          <w:szCs w:val="24"/>
        </w:rPr>
        <w:fldChar w:fldCharType="separate"/>
      </w:r>
      <w:r>
        <w:rPr>
          <w:rFonts w:hint="eastAsia"/>
          <w:szCs w:val="28"/>
          <w:lang w:val="en-US" w:eastAsia="zh-CN"/>
        </w:rPr>
        <w:t>第五条：双方权利和义务</w:t>
      </w:r>
      <w:r>
        <w:tab/>
      </w:r>
      <w:r>
        <w:fldChar w:fldCharType="begin"/>
      </w:r>
      <w:r>
        <w:instrText xml:space="preserve"> PAGEREF _Toc24550 \h </w:instrText>
      </w:r>
      <w:r>
        <w:fldChar w:fldCharType="separate"/>
      </w:r>
      <w:r>
        <w:t>- 27 -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_Toc31575 </w:instrText>
      </w:r>
      <w:r>
        <w:rPr>
          <w:rFonts w:hint="eastAsia" w:ascii="宋体" w:hAnsi="宋体" w:eastAsia="宋体" w:cs="宋体"/>
          <w:szCs w:val="24"/>
        </w:rPr>
        <w:fldChar w:fldCharType="separate"/>
      </w:r>
      <w:r>
        <w:rPr>
          <w:rFonts w:hint="eastAsia"/>
          <w:szCs w:val="28"/>
        </w:rPr>
        <w:t>第</w:t>
      </w:r>
      <w:r>
        <w:rPr>
          <w:rFonts w:hint="eastAsia"/>
          <w:szCs w:val="28"/>
          <w:lang w:val="en-US" w:eastAsia="zh-CN"/>
        </w:rPr>
        <w:t>六</w:t>
      </w:r>
      <w:r>
        <w:rPr>
          <w:rFonts w:hint="eastAsia"/>
          <w:szCs w:val="28"/>
        </w:rPr>
        <w:t>条：争议及违约处理</w:t>
      </w:r>
      <w:r>
        <w:tab/>
      </w:r>
      <w:r>
        <w:fldChar w:fldCharType="begin"/>
      </w:r>
      <w:r>
        <w:instrText xml:space="preserve"> PAGEREF _Toc31575 \h </w:instrText>
      </w:r>
      <w:r>
        <w:fldChar w:fldCharType="separate"/>
      </w:r>
      <w:r>
        <w:t>- 28 -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_Toc30297 </w:instrText>
      </w:r>
      <w:r>
        <w:rPr>
          <w:rFonts w:hint="eastAsia" w:ascii="宋体" w:hAnsi="宋体" w:eastAsia="宋体" w:cs="宋体"/>
          <w:szCs w:val="24"/>
        </w:rPr>
        <w:fldChar w:fldCharType="separate"/>
      </w:r>
      <w:r>
        <w:rPr>
          <w:rFonts w:hint="eastAsia"/>
          <w:szCs w:val="28"/>
        </w:rPr>
        <w:t>第</w:t>
      </w:r>
      <w:r>
        <w:rPr>
          <w:rFonts w:hint="eastAsia"/>
          <w:szCs w:val="28"/>
          <w:lang w:val="en-US" w:eastAsia="zh-CN"/>
        </w:rPr>
        <w:t>七</w:t>
      </w:r>
      <w:r>
        <w:rPr>
          <w:rFonts w:hint="eastAsia"/>
          <w:szCs w:val="28"/>
        </w:rPr>
        <w:t>条：其它</w:t>
      </w:r>
      <w:r>
        <w:tab/>
      </w:r>
      <w:r>
        <w:fldChar w:fldCharType="begin"/>
      </w:r>
      <w:r>
        <w:instrText xml:space="preserve"> PAGEREF _Toc30297 \h </w:instrText>
      </w:r>
      <w:r>
        <w:fldChar w:fldCharType="separate"/>
      </w:r>
      <w:r>
        <w:t>- 28 -</w:t>
      </w:r>
      <w:r>
        <w:fldChar w:fldCharType="end"/>
      </w:r>
      <w:r>
        <w:rPr>
          <w:rFonts w:hint="eastAsia" w:ascii="宋体" w:hAnsi="宋体" w:eastAsia="宋体" w:cs="宋体"/>
          <w:szCs w:val="24"/>
        </w:rPr>
        <w:fldChar w:fldCharType="end"/>
      </w:r>
    </w:p>
    <w:p>
      <w:pPr>
        <w:pStyle w:val="38"/>
        <w:tabs>
          <w:tab w:val="right" w:leader="dot" w:pos="9412"/>
          <w:tab w:val="clear" w:pos="1260"/>
          <w:tab w:val="clear" w:pos="1685"/>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_Toc24004 </w:instrText>
      </w:r>
      <w:r>
        <w:rPr>
          <w:rFonts w:hint="eastAsia" w:ascii="宋体" w:hAnsi="宋体" w:eastAsia="宋体" w:cs="宋体"/>
          <w:szCs w:val="24"/>
        </w:rPr>
        <w:fldChar w:fldCharType="separate"/>
      </w:r>
      <w:r>
        <w:rPr>
          <w:rFonts w:hint="eastAsia" w:ascii="宋体" w:hAnsi="宋体" w:eastAsia="宋体"/>
          <w:lang w:val="en-US" w:eastAsia="zh-CN"/>
        </w:rPr>
        <w:t>第六篇  响应文件格式</w:t>
      </w:r>
      <w:r>
        <w:tab/>
      </w:r>
      <w:r>
        <w:fldChar w:fldCharType="begin"/>
      </w:r>
      <w:r>
        <w:instrText xml:space="preserve"> PAGEREF _Toc24004 \h </w:instrText>
      </w:r>
      <w:r>
        <w:fldChar w:fldCharType="separate"/>
      </w:r>
      <w:r>
        <w:t>- 29 -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_Toc7395 </w:instrText>
      </w:r>
      <w:r>
        <w:rPr>
          <w:rFonts w:hint="eastAsia" w:ascii="宋体" w:hAnsi="宋体" w:eastAsia="宋体" w:cs="宋体"/>
          <w:szCs w:val="24"/>
        </w:rPr>
        <w:fldChar w:fldCharType="separate"/>
      </w:r>
      <w:r>
        <w:rPr>
          <w:rFonts w:hint="eastAsia"/>
          <w:szCs w:val="28"/>
        </w:rPr>
        <w:t>一、资格文件</w:t>
      </w:r>
      <w:r>
        <w:tab/>
      </w:r>
      <w:r>
        <w:fldChar w:fldCharType="begin"/>
      </w:r>
      <w:r>
        <w:instrText xml:space="preserve"> PAGEREF _Toc7395 \h </w:instrText>
      </w:r>
      <w:r>
        <w:fldChar w:fldCharType="separate"/>
      </w:r>
      <w:r>
        <w:t>- 30 -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_Toc17237 </w:instrText>
      </w:r>
      <w:r>
        <w:rPr>
          <w:rFonts w:hint="eastAsia" w:ascii="宋体" w:hAnsi="宋体" w:eastAsia="宋体" w:cs="宋体"/>
          <w:szCs w:val="24"/>
        </w:rPr>
        <w:fldChar w:fldCharType="separate"/>
      </w:r>
      <w:r>
        <w:rPr>
          <w:rFonts w:hint="eastAsia"/>
          <w:szCs w:val="28"/>
          <w:lang w:eastAsia="zh-CN"/>
        </w:rPr>
        <w:t>二</w:t>
      </w:r>
      <w:r>
        <w:rPr>
          <w:rFonts w:hint="eastAsia"/>
          <w:szCs w:val="28"/>
        </w:rPr>
        <w:t>、服务响应文件</w:t>
      </w:r>
      <w:r>
        <w:tab/>
      </w:r>
      <w:r>
        <w:fldChar w:fldCharType="begin"/>
      </w:r>
      <w:r>
        <w:instrText xml:space="preserve"> PAGEREF _Toc17237 \h </w:instrText>
      </w:r>
      <w:r>
        <w:fldChar w:fldCharType="separate"/>
      </w:r>
      <w:r>
        <w:t>- 35 -</w:t>
      </w:r>
      <w:r>
        <w:fldChar w:fldCharType="end"/>
      </w:r>
      <w:r>
        <w:rPr>
          <w:rFonts w:hint="eastAsia" w:ascii="宋体" w:hAnsi="宋体" w:eastAsia="宋体" w:cs="宋体"/>
          <w:szCs w:val="24"/>
        </w:rPr>
        <w:fldChar w:fldCharType="end"/>
      </w:r>
    </w:p>
    <w:p>
      <w:pPr>
        <w:pStyle w:val="46"/>
        <w:tabs>
          <w:tab w:val="right" w:leader="dot" w:pos="9412"/>
          <w:tab w:val="clear" w:pos="8400"/>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_Toc6338 </w:instrText>
      </w:r>
      <w:r>
        <w:rPr>
          <w:rFonts w:hint="eastAsia" w:ascii="宋体" w:hAnsi="宋体" w:eastAsia="宋体" w:cs="宋体"/>
          <w:szCs w:val="24"/>
        </w:rPr>
        <w:fldChar w:fldCharType="separate"/>
      </w:r>
      <w:r>
        <w:rPr>
          <w:rFonts w:hint="eastAsia"/>
          <w:szCs w:val="28"/>
        </w:rPr>
        <w:t>四、其他</w:t>
      </w:r>
      <w:r>
        <w:tab/>
      </w:r>
      <w:r>
        <w:fldChar w:fldCharType="begin"/>
      </w:r>
      <w:r>
        <w:instrText xml:space="preserve"> PAGEREF _Toc6338 \h </w:instrText>
      </w:r>
      <w:r>
        <w:fldChar w:fldCharType="separate"/>
      </w:r>
      <w:r>
        <w:t>- 37 -</w:t>
      </w:r>
      <w:r>
        <w:fldChar w:fldCharType="end"/>
      </w:r>
      <w:r>
        <w:rPr>
          <w:rFonts w:hint="eastAsia" w:ascii="宋体" w:hAnsi="宋体" w:eastAsia="宋体" w:cs="宋体"/>
          <w:szCs w:val="24"/>
        </w:rPr>
        <w:fldChar w:fldCharType="end"/>
      </w:r>
    </w:p>
    <w:p>
      <w:pPr>
        <w:pStyle w:val="38"/>
        <w:spacing w:line="276" w:lineRule="auto"/>
        <w:ind w:firstLine="0" w:firstLineChars="0"/>
        <w:rPr>
          <w:rFonts w:ascii="宋体" w:hAnsi="宋体"/>
          <w:sz w:val="32"/>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ascii="宋体" w:hAnsi="宋体" w:eastAsia="宋体" w:cs="宋体"/>
          <w:szCs w:val="24"/>
        </w:rPr>
        <w:fldChar w:fldCharType="end"/>
      </w:r>
    </w:p>
    <w:p>
      <w:pPr>
        <w:pStyle w:val="2"/>
        <w:keepNext/>
        <w:keepLines w:val="0"/>
        <w:pageBreakBefore w:val="0"/>
        <w:widowControl w:val="0"/>
        <w:numPr>
          <w:ilvl w:val="0"/>
          <w:numId w:val="16"/>
        </w:numPr>
        <w:kinsoku/>
        <w:wordWrap/>
        <w:overflowPunct/>
        <w:topLinePunct w:val="0"/>
        <w:autoSpaceDE/>
        <w:autoSpaceDN/>
        <w:bidi w:val="0"/>
        <w:adjustRightInd/>
        <w:snapToGrid w:val="0"/>
        <w:spacing w:before="381" w:beforeLines="100" w:after="381" w:afterLines="100" w:line="360" w:lineRule="auto"/>
        <w:ind w:left="1531" w:hanging="1531"/>
        <w:textAlignment w:val="auto"/>
        <w:rPr>
          <w:rFonts w:ascii="宋体" w:hAnsi="宋体" w:eastAsia="宋体"/>
        </w:rPr>
      </w:pPr>
      <w:bookmarkStart w:id="0" w:name="_Toc441065652"/>
      <w:r>
        <w:rPr>
          <w:rFonts w:hint="eastAsia" w:ascii="宋体" w:hAnsi="宋体" w:eastAsia="宋体"/>
          <w:lang w:val="en-US" w:eastAsia="zh-CN"/>
        </w:rPr>
        <w:t xml:space="preserve"> </w:t>
      </w:r>
      <w:bookmarkStart w:id="1" w:name="_Toc24322"/>
      <w:r>
        <w:rPr>
          <w:rFonts w:hint="eastAsia" w:ascii="宋体" w:hAnsi="宋体" w:eastAsia="宋体"/>
        </w:rPr>
        <w:t>竞争性比选邀请书</w:t>
      </w:r>
      <w:bookmarkEnd w:id="0"/>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采购人将对以下项目进行竞争性比选，欢迎有资格的供应商参与比选。</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b/>
          <w:sz w:val="28"/>
          <w:szCs w:val="28"/>
        </w:rPr>
      </w:pPr>
      <w:bookmarkStart w:id="2" w:name="_Toc15024"/>
      <w:bookmarkStart w:id="3" w:name="_Toc441065653"/>
      <w:r>
        <w:rPr>
          <w:rFonts w:hint="eastAsia"/>
          <w:b/>
          <w:sz w:val="28"/>
          <w:szCs w:val="28"/>
        </w:rPr>
        <w:t>一、项目内容</w:t>
      </w:r>
      <w:bookmarkEnd w:id="2"/>
      <w:bookmarkEnd w:id="3"/>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345"/>
        <w:gridCol w:w="252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pStyle w:val="23"/>
              <w:spacing w:line="276" w:lineRule="auto"/>
              <w:ind w:left="0"/>
              <w:jc w:val="center"/>
              <w:outlineLvl w:val="0"/>
              <w:rPr>
                <w:rFonts w:ascii="宋体" w:hAnsi="宋体"/>
                <w:sz w:val="24"/>
                <w:szCs w:val="24"/>
              </w:rPr>
            </w:pPr>
            <w:r>
              <w:rPr>
                <w:rFonts w:hint="eastAsia" w:ascii="宋体" w:hAnsi="宋体"/>
                <w:sz w:val="24"/>
                <w:szCs w:val="24"/>
              </w:rPr>
              <w:t>序号</w:t>
            </w:r>
          </w:p>
        </w:tc>
        <w:tc>
          <w:tcPr>
            <w:tcW w:w="3345" w:type="dxa"/>
            <w:vAlign w:val="center"/>
          </w:tcPr>
          <w:p>
            <w:pPr>
              <w:pStyle w:val="23"/>
              <w:spacing w:line="276" w:lineRule="auto"/>
              <w:ind w:left="0"/>
              <w:jc w:val="center"/>
              <w:outlineLvl w:val="0"/>
              <w:rPr>
                <w:rFonts w:ascii="宋体" w:hAnsi="宋体"/>
                <w:sz w:val="24"/>
                <w:szCs w:val="24"/>
              </w:rPr>
            </w:pPr>
            <w:r>
              <w:rPr>
                <w:rFonts w:hint="eastAsia" w:ascii="宋体" w:hAnsi="宋体"/>
                <w:sz w:val="24"/>
                <w:szCs w:val="24"/>
              </w:rPr>
              <w:t>项目名称</w:t>
            </w:r>
          </w:p>
        </w:tc>
        <w:tc>
          <w:tcPr>
            <w:tcW w:w="2522" w:type="dxa"/>
            <w:vAlign w:val="center"/>
          </w:tcPr>
          <w:p>
            <w:pPr>
              <w:pStyle w:val="23"/>
              <w:spacing w:line="276" w:lineRule="auto"/>
              <w:ind w:left="0"/>
              <w:jc w:val="center"/>
              <w:outlineLvl w:val="0"/>
              <w:rPr>
                <w:rFonts w:ascii="宋体" w:hAnsi="宋体"/>
                <w:sz w:val="24"/>
                <w:szCs w:val="24"/>
              </w:rPr>
            </w:pPr>
            <w:r>
              <w:rPr>
                <w:rFonts w:hint="eastAsia" w:ascii="宋体" w:hAnsi="宋体"/>
                <w:sz w:val="24"/>
                <w:szCs w:val="24"/>
              </w:rPr>
              <w:t>比选保证金（万元）</w:t>
            </w:r>
          </w:p>
        </w:tc>
        <w:tc>
          <w:tcPr>
            <w:tcW w:w="1158" w:type="dxa"/>
            <w:vAlign w:val="center"/>
          </w:tcPr>
          <w:p>
            <w:pPr>
              <w:pStyle w:val="23"/>
              <w:spacing w:line="276" w:lineRule="auto"/>
              <w:ind w:left="0"/>
              <w:jc w:val="center"/>
              <w:outlineLvl w:val="0"/>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2" w:type="dxa"/>
            <w:vAlign w:val="center"/>
          </w:tcPr>
          <w:p>
            <w:pPr>
              <w:pStyle w:val="15"/>
              <w:spacing w:line="276" w:lineRule="auto"/>
              <w:ind w:firstLine="0"/>
              <w:jc w:val="center"/>
              <w:outlineLvl w:val="0"/>
              <w:rPr>
                <w:rFonts w:ascii="宋体" w:hAnsi="宋体"/>
                <w:szCs w:val="24"/>
              </w:rPr>
            </w:pPr>
            <w:r>
              <w:rPr>
                <w:rFonts w:hint="eastAsia" w:ascii="宋体" w:hAnsi="宋体"/>
                <w:szCs w:val="24"/>
              </w:rPr>
              <w:t>1</w:t>
            </w:r>
          </w:p>
        </w:tc>
        <w:tc>
          <w:tcPr>
            <w:tcW w:w="3345" w:type="dxa"/>
            <w:vAlign w:val="center"/>
          </w:tcPr>
          <w:p>
            <w:pPr>
              <w:widowControl/>
              <w:jc w:val="left"/>
              <w:rPr>
                <w:rFonts w:ascii="宋体" w:hAnsi="宋体"/>
                <w:sz w:val="24"/>
                <w:szCs w:val="24"/>
              </w:rPr>
            </w:pPr>
            <w:r>
              <w:rPr>
                <w:rFonts w:hint="eastAsia" w:ascii="宋体" w:hAnsi="宋体"/>
                <w:sz w:val="24"/>
                <w:szCs w:val="24"/>
              </w:rPr>
              <w:t>北碚区远程影像诊断系统维保</w:t>
            </w:r>
          </w:p>
        </w:tc>
        <w:tc>
          <w:tcPr>
            <w:tcW w:w="2522" w:type="dxa"/>
            <w:vAlign w:val="center"/>
          </w:tcPr>
          <w:p>
            <w:pPr>
              <w:pStyle w:val="23"/>
              <w:spacing w:line="276" w:lineRule="auto"/>
              <w:ind w:left="0"/>
              <w:jc w:val="center"/>
              <w:outlineLvl w:val="0"/>
              <w:rPr>
                <w:rFonts w:ascii="宋体" w:hAnsi="宋体"/>
                <w:sz w:val="24"/>
                <w:szCs w:val="24"/>
              </w:rPr>
            </w:pPr>
            <w:r>
              <w:rPr>
                <w:rFonts w:hint="eastAsia" w:ascii="宋体" w:hAnsi="宋体"/>
                <w:sz w:val="24"/>
                <w:szCs w:val="24"/>
              </w:rPr>
              <w:t>0</w:t>
            </w:r>
          </w:p>
        </w:tc>
        <w:tc>
          <w:tcPr>
            <w:tcW w:w="1158" w:type="dxa"/>
          </w:tcPr>
          <w:p>
            <w:pPr>
              <w:pStyle w:val="15"/>
              <w:spacing w:line="276" w:lineRule="auto"/>
              <w:ind w:firstLine="0"/>
              <w:outlineLvl w:val="0"/>
              <w:rPr>
                <w:rFonts w:ascii="宋体" w:hAnsi="宋体"/>
                <w:szCs w:val="24"/>
              </w:rPr>
            </w:pPr>
          </w:p>
        </w:tc>
      </w:tr>
    </w:tbl>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4" w:name="_Toc441065655"/>
      <w:bookmarkStart w:id="5" w:name="_Toc18273"/>
      <w:r>
        <w:rPr>
          <w:rFonts w:hint="eastAsia"/>
          <w:b/>
          <w:sz w:val="28"/>
          <w:szCs w:val="28"/>
        </w:rPr>
        <w:t>二、供应商资格要求</w:t>
      </w:r>
      <w:bookmarkEnd w:id="4"/>
      <w:bookmarkEnd w:id="5"/>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合格供应商应首先符合政府采购法第二十二条规定的基本条件，同时符合根据该项目特点设置的特定资格条件。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（一）基本资格条件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4、有依法缴纳税收</w:t>
      </w:r>
      <w:r>
        <w:rPr>
          <w:rFonts w:hint="eastAsia" w:ascii="宋体" w:hAnsi="宋体"/>
          <w:sz w:val="24"/>
          <w:szCs w:val="24"/>
          <w:highlight w:val="none"/>
        </w:rPr>
        <w:t>和社会保障资金的良好记录；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szCs w:val="24"/>
        </w:rPr>
      </w:pPr>
      <w:r>
        <w:rPr>
          <w:rFonts w:hint="eastAsia" w:ascii="宋体" w:hAnsi="宋体"/>
          <w:sz w:val="24"/>
          <w:szCs w:val="24"/>
        </w:rPr>
        <w:t>6、法律、行政法规规定的其他条件。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（二）特定资格条件：无</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b/>
          <w:sz w:val="24"/>
          <w:szCs w:val="24"/>
        </w:rPr>
      </w:pPr>
      <w:r>
        <w:rPr>
          <w:rFonts w:hint="eastAsia" w:ascii="宋体" w:hAnsi="宋体"/>
          <w:b/>
          <w:sz w:val="24"/>
          <w:szCs w:val="24"/>
        </w:rPr>
        <w:t>特别说明：本项目不接受联合体参与投标</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6" w:name="_Toc441065656"/>
      <w:bookmarkStart w:id="7" w:name="_Toc28176"/>
      <w:bookmarkStart w:id="8" w:name="_Toc532"/>
      <w:bookmarkStart w:id="9" w:name="_Toc30947"/>
      <w:bookmarkStart w:id="10" w:name="_Toc69482339"/>
      <w:bookmarkStart w:id="11" w:name="_Toc5940"/>
      <w:bookmarkStart w:id="12" w:name="_Toc1714"/>
      <w:bookmarkStart w:id="13" w:name="_Toc4185"/>
      <w:bookmarkStart w:id="14" w:name="_Toc20131"/>
      <w:bookmarkStart w:id="15" w:name="_Toc10309"/>
      <w:bookmarkStart w:id="16" w:name="_Toc17937"/>
      <w:r>
        <w:rPr>
          <w:rFonts w:hint="eastAsia"/>
          <w:b/>
          <w:sz w:val="28"/>
          <w:szCs w:val="28"/>
        </w:rPr>
        <w:t>三、</w:t>
      </w:r>
      <w:bookmarkEnd w:id="6"/>
      <w:r>
        <w:rPr>
          <w:rFonts w:hint="eastAsia"/>
          <w:b/>
          <w:sz w:val="28"/>
          <w:szCs w:val="28"/>
        </w:rPr>
        <w:t>投标报名</w:t>
      </w:r>
      <w:bookmarkEnd w:id="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rPr>
      </w:pPr>
      <w:r>
        <w:rPr>
          <w:rFonts w:hint="eastAsia" w:ascii="宋体" w:hAnsi="宋体"/>
          <w:sz w:val="24"/>
          <w:szCs w:val="24"/>
        </w:rPr>
        <w:t>凡有意参加比选的供应商，自</w:t>
      </w:r>
      <w:r>
        <w:rPr>
          <w:rFonts w:hint="eastAsia" w:ascii="宋体" w:hAnsi="宋体"/>
          <w:color w:val="auto"/>
          <w:sz w:val="24"/>
          <w:szCs w:val="24"/>
        </w:rPr>
        <w:t>行下载附件中的采购文件，无论供应商下载与否，均视为已知晓所有采购内容及要求。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1、报名时间(北京时间，余同)：2022年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日至3月</w:t>
      </w:r>
      <w:r>
        <w:rPr>
          <w:rFonts w:hint="eastAsia" w:ascii="宋体" w:hAnsi="宋体"/>
          <w:color w:val="auto"/>
          <w:sz w:val="24"/>
          <w:szCs w:val="24"/>
          <w:lang w:val="en-US" w:eastAsia="zh-CN"/>
        </w:rPr>
        <w:t>23</w:t>
      </w:r>
      <w:r>
        <w:rPr>
          <w:rFonts w:hint="eastAsia" w:ascii="宋体" w:hAnsi="宋体"/>
          <w:color w:val="auto"/>
          <w:sz w:val="24"/>
          <w:szCs w:val="24"/>
        </w:rPr>
        <w:t>日期间：每日上午8:00-12:00，下午14:30-17:30，法定节假日除外。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2、报名方式：重庆市第九人民医院外科综合楼M层信息科现场报名（地址：重庆市北碚区嘉陵村69号）。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b/>
          <w:bCs/>
          <w:color w:val="auto"/>
        </w:rPr>
      </w:pPr>
      <w:r>
        <w:rPr>
          <w:rFonts w:hint="eastAsia" w:ascii="宋体" w:hAnsi="宋体"/>
          <w:color w:val="auto"/>
          <w:sz w:val="24"/>
          <w:szCs w:val="24"/>
        </w:rPr>
        <w:t>3、报名要求：报名时，必须持投标单位营业执照复印件、经办人的法人授权委托书及本人身份证。</w:t>
      </w:r>
      <w:r>
        <w:rPr>
          <w:rFonts w:hint="eastAsia" w:ascii="宋体" w:hAnsi="宋体"/>
          <w:b/>
          <w:bCs/>
          <w:color w:val="auto"/>
          <w:sz w:val="24"/>
          <w:szCs w:val="24"/>
        </w:rPr>
        <w:t>注：根据疫情管控要求，来人必须提供防疫健康绿码</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17" w:name="_Toc20463"/>
      <w:r>
        <w:rPr>
          <w:rFonts w:hint="eastAsia"/>
          <w:b/>
          <w:sz w:val="28"/>
          <w:szCs w:val="28"/>
        </w:rPr>
        <w:t>四、投标文件递交与比选</w:t>
      </w:r>
      <w:bookmarkEnd w:id="1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1、递交投标文件开始和截止时间：2022年3月</w:t>
      </w:r>
      <w:r>
        <w:rPr>
          <w:rFonts w:hint="eastAsia" w:ascii="宋体" w:hAnsi="宋体"/>
          <w:color w:val="auto"/>
          <w:sz w:val="24"/>
          <w:szCs w:val="24"/>
          <w:lang w:val="en-US" w:eastAsia="zh-CN"/>
        </w:rPr>
        <w:t>24</w:t>
      </w:r>
      <w:r>
        <w:rPr>
          <w:rFonts w:hint="eastAsia" w:ascii="宋体" w:hAnsi="宋体"/>
          <w:color w:val="auto"/>
          <w:sz w:val="24"/>
          <w:szCs w:val="24"/>
        </w:rPr>
        <w:t xml:space="preserve">日上午 9:00—9:30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2、比选开始时间：2022年3月</w:t>
      </w:r>
      <w:r>
        <w:rPr>
          <w:rFonts w:hint="eastAsia" w:ascii="宋体" w:hAnsi="宋体"/>
          <w:color w:val="auto"/>
          <w:sz w:val="24"/>
          <w:szCs w:val="24"/>
          <w:lang w:val="en-US" w:eastAsia="zh-CN"/>
        </w:rPr>
        <w:t>24</w:t>
      </w:r>
      <w:r>
        <w:rPr>
          <w:rFonts w:hint="eastAsia" w:ascii="宋体" w:hAnsi="宋体"/>
          <w:color w:val="auto"/>
          <w:sz w:val="24"/>
          <w:szCs w:val="24"/>
        </w:rPr>
        <w:t xml:space="preserve">日上午9:30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rPr>
      </w:pPr>
      <w:r>
        <w:rPr>
          <w:rFonts w:hint="eastAsia" w:ascii="宋体" w:hAnsi="宋体"/>
          <w:color w:val="auto"/>
          <w:sz w:val="24"/>
          <w:szCs w:val="24"/>
        </w:rPr>
        <w:t>注：文件递交和比选地址：重庆市第九人民医院外科综合楼M层信息科会议室；</w:t>
      </w:r>
      <w:r>
        <w:rPr>
          <w:rFonts w:hint="eastAsia" w:ascii="宋体" w:hAnsi="宋体"/>
          <w:b/>
          <w:bCs/>
          <w:color w:val="auto"/>
          <w:sz w:val="24"/>
          <w:szCs w:val="24"/>
        </w:rPr>
        <w:t>根据疫情管控要求，来人必须提供防疫健康绿码</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18" w:name="_Toc13309"/>
      <w:r>
        <w:rPr>
          <w:rFonts w:hint="eastAsia"/>
          <w:b/>
          <w:sz w:val="28"/>
          <w:szCs w:val="28"/>
        </w:rPr>
        <w:t>五、采购人联系方式</w:t>
      </w:r>
      <w:bookmarkEnd w:id="8"/>
      <w:bookmarkEnd w:id="9"/>
      <w:bookmarkEnd w:id="10"/>
      <w:bookmarkEnd w:id="11"/>
      <w:bookmarkEnd w:id="12"/>
      <w:bookmarkEnd w:id="13"/>
      <w:bookmarkEnd w:id="14"/>
      <w:bookmarkEnd w:id="15"/>
      <w:bookmarkEnd w:id="16"/>
      <w:bookmarkEnd w:id="1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联系人： 李老师、杨老师；  联系电话：023-68209934</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19" w:name="_Toc441065657"/>
      <w:bookmarkStart w:id="20" w:name="_Toc2176"/>
      <w:r>
        <w:rPr>
          <w:rFonts w:hint="eastAsia"/>
          <w:b/>
          <w:sz w:val="28"/>
          <w:szCs w:val="28"/>
        </w:rPr>
        <w:t>六、比选保证金</w:t>
      </w:r>
      <w:bookmarkEnd w:id="19"/>
      <w:bookmarkEnd w:id="2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供应商应足额交纳比选保证金（保证金金额详见本篇，一、招标项目内容），并汇至以下账户，比选保证金的到账截止时间同响应文件提交截止时间。</w:t>
      </w:r>
      <w:r>
        <w:rPr>
          <w:rFonts w:hint="eastAsia" w:ascii="宋体" w:hAnsi="宋体"/>
          <w:b/>
          <w:bCs/>
          <w:sz w:val="24"/>
          <w:szCs w:val="24"/>
        </w:rPr>
        <w:t>（请各潜在供应商在缴纳投标保证金时一定按要求打款至以下指定账户，否则会导致投标无效）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比选保证金账户：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户  名：重庆市第九人民医院</w:t>
      </w:r>
    </w:p>
    <w:tbl>
      <w:tblPr>
        <w:tblStyle w:val="58"/>
        <w:tblW w:w="7893" w:type="dxa"/>
        <w:jc w:val="center"/>
        <w:tblLayout w:type="fixed"/>
        <w:tblCellMar>
          <w:top w:w="0" w:type="dxa"/>
          <w:left w:w="0" w:type="dxa"/>
          <w:bottom w:w="0" w:type="dxa"/>
          <w:right w:w="0" w:type="dxa"/>
        </w:tblCellMar>
      </w:tblPr>
      <w:tblGrid>
        <w:gridCol w:w="2075"/>
        <w:gridCol w:w="5818"/>
      </w:tblGrid>
      <w:tr>
        <w:tblPrEx>
          <w:tblCellMar>
            <w:top w:w="0" w:type="dxa"/>
            <w:left w:w="0" w:type="dxa"/>
            <w:bottom w:w="0" w:type="dxa"/>
            <w:right w:w="0" w:type="dxa"/>
          </w:tblCellMar>
        </w:tblPrEx>
        <w:trPr>
          <w:trHeight w:val="444" w:hRule="exact"/>
          <w:jc w:val="center"/>
        </w:trPr>
        <w:tc>
          <w:tcPr>
            <w:tcW w:w="207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76" w:lineRule="auto"/>
              <w:jc w:val="center"/>
              <w:rPr>
                <w:rFonts w:ascii="宋体" w:hAnsi="宋体" w:cs="宋体"/>
                <w:spacing w:val="-2"/>
                <w:sz w:val="21"/>
                <w:szCs w:val="21"/>
              </w:rPr>
            </w:pPr>
            <w:r>
              <w:rPr>
                <w:rFonts w:hint="eastAsia" w:ascii="宋体" w:hAnsi="宋体" w:cs="宋体"/>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76" w:lineRule="auto"/>
              <w:jc w:val="center"/>
              <w:rPr>
                <w:rFonts w:ascii="宋体" w:hAnsi="宋体" w:cs="宋体"/>
                <w:spacing w:val="-2"/>
                <w:sz w:val="21"/>
                <w:szCs w:val="21"/>
              </w:rPr>
            </w:pPr>
            <w:r>
              <w:rPr>
                <w:rFonts w:hint="eastAsia" w:ascii="宋体" w:hAnsi="宋体" w:cs="宋体"/>
                <w:spacing w:val="-2"/>
                <w:sz w:val="21"/>
                <w:szCs w:val="21"/>
              </w:rPr>
              <w:t>建行北碚支行</w:t>
            </w:r>
          </w:p>
        </w:tc>
      </w:tr>
      <w:tr>
        <w:tblPrEx>
          <w:tblCellMar>
            <w:top w:w="0" w:type="dxa"/>
            <w:left w:w="0" w:type="dxa"/>
            <w:bottom w:w="0" w:type="dxa"/>
            <w:right w:w="0" w:type="dxa"/>
          </w:tblCellMar>
        </w:tblPrEx>
        <w:trPr>
          <w:trHeight w:val="459" w:hRule="exact"/>
          <w:jc w:val="center"/>
        </w:trPr>
        <w:tc>
          <w:tcPr>
            <w:tcW w:w="207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76" w:lineRule="auto"/>
              <w:jc w:val="center"/>
              <w:rPr>
                <w:rFonts w:ascii="宋体" w:hAnsi="宋体" w:cs="宋体"/>
                <w:spacing w:val="-2"/>
                <w:sz w:val="21"/>
                <w:szCs w:val="21"/>
              </w:rPr>
            </w:pPr>
            <w:r>
              <w:rPr>
                <w:rFonts w:hint="eastAsia" w:ascii="宋体" w:hAnsi="宋体" w:cs="宋体"/>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76" w:lineRule="auto"/>
              <w:jc w:val="center"/>
              <w:rPr>
                <w:rFonts w:ascii="宋体" w:hAnsi="宋体" w:cs="宋体"/>
                <w:spacing w:val="-2"/>
                <w:sz w:val="21"/>
                <w:szCs w:val="21"/>
              </w:rPr>
            </w:pPr>
            <w:r>
              <w:rPr>
                <w:rFonts w:hint="eastAsia" w:cs="宋体"/>
                <w:sz w:val="24"/>
              </w:rPr>
              <w:t>5000 1093 6000 5001 2527</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供应商在递交保证金时，应在付款凭证备注栏中注明项目名称（项目名称：北碚区远程影像诊断系统维保），</w:t>
      </w:r>
      <w:r>
        <w:rPr>
          <w:rFonts w:hint="eastAsia" w:ascii="宋体" w:hAnsi="宋体"/>
          <w:b/>
          <w:bCs/>
          <w:sz w:val="24"/>
          <w:szCs w:val="24"/>
        </w:rPr>
        <w:t>到款账户为上述指定的保证金专用账户，</w:t>
      </w:r>
      <w:r>
        <w:rPr>
          <w:rFonts w:hint="eastAsia" w:ascii="宋体" w:hAnsi="宋体"/>
          <w:sz w:val="24"/>
          <w:szCs w:val="24"/>
        </w:rPr>
        <w:t>来款账户必须与参与比选的供应商名称一致。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参与比选的供应商在银行转账（电汇）时，须充分考虑银行转账（电汇）的时间差风险，如同城转账、异地转账或汇款、跨行转账或电汇的时间要求。如因时间差等原因导致在比选保证金到账截止时间内，无法查实比选保证金是否到账的，将视为无效投标，该后果由供应商自行承担。（供应商参与比选时应手持比选保证金付款凭证以备查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如本次采购终止，在本次比选中缴纳保证金的供应商，若参加本项目下一次采购需要重新缴纳保证金，本次的比选保证金会按照相关程序进行退还。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保证金退还方式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（1）未成交供应商的保证金，在成交通知书发放后，采购人在五个工作日内按来款渠道直接退还。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（2）成交供应商的保证金，在成交供应商与采购人签订合同后，采购人在五个工作日内按资金来款渠道直接退还。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rPr>
      </w:pPr>
      <w:r>
        <w:rPr>
          <w:rFonts w:hint="eastAsia" w:ascii="宋体" w:hAnsi="宋体"/>
          <w:sz w:val="24"/>
          <w:szCs w:val="24"/>
          <w:lang w:val="en-US" w:eastAsia="zh-CN"/>
        </w:rPr>
        <w:t>6、</w:t>
      </w:r>
      <w:r>
        <w:rPr>
          <w:rFonts w:hint="eastAsia" w:ascii="宋体" w:hAnsi="宋体"/>
          <w:sz w:val="24"/>
          <w:szCs w:val="24"/>
        </w:rPr>
        <w:t>保证金查询电话：023-68203422</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21" w:name="_Toc28640"/>
      <w:r>
        <w:rPr>
          <w:rFonts w:hint="eastAsia"/>
          <w:b/>
          <w:sz w:val="28"/>
          <w:szCs w:val="28"/>
        </w:rPr>
        <w:t>七、采购项目需落实的政府采购政策</w:t>
      </w:r>
      <w:bookmarkEnd w:id="2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（一）《财政部 生态环境部关于印发环境标志产品政府采购品目清单的通知》（财库〔2019〕18号）和《财政部 发展改革委关于印发节能产品政府采购品目清单的通知》（财库〔2019〕19号）的规定，落实国家节能环保政策。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（二）按照《财政部 工业和信息化部关于印发&lt;政府采购促进中小企业发展暂行办法&gt;的通知》（财库〔2011〕181号）的规定，落实促进中小企业发展政策。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（三）按照《财政部、司法部关于政府采购支持监狱企业发展有关问题的通知》（财库〔2014〕68号）的规定，落实支持监狱企业发展政策。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（四）按照《三部门联合发布关于促进残疾人就业政府采购政策的通知》（财库〔2017〕 141号）的规定，落实支持残疾人福利性单位发展政策。</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22" w:name="_Toc441065658"/>
      <w:bookmarkStart w:id="23" w:name="_Toc5686"/>
      <w:r>
        <w:rPr>
          <w:rFonts w:hint="eastAsia"/>
          <w:b/>
          <w:sz w:val="28"/>
          <w:szCs w:val="28"/>
        </w:rPr>
        <w:t>八、比选有关规定</w:t>
      </w:r>
      <w:bookmarkEnd w:id="22"/>
      <w:bookmarkEnd w:id="2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（一）单位负责人为同一人或者存在直接控股、管理关系的不同供应商，不得参加同一合同项（分包）下的采购活动。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（三）本项目的补遗文件（如果有）一律在重庆市第九人民医院官方网站（www.cq9yuan.com）上发布，请各供应商注意下载；无论供应商下载与否，均视同供应商已知晓本项目补遗文件的内容。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（五）供应商须满足以下三种要件，其响应文件才被接受：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1、响应文件提交截止时间前按时签到；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2、响应文件提交截止时间前完成了响应文件的递交；</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3、提交响应文件截止时间前缴纳（采购人收到款项时间为准）比选保证金。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（六）比选费用：无论比选结果如何，供应商参与本项目的所有费用均应由供应商自行承担。</w:t>
      </w:r>
    </w:p>
    <w:p>
      <w:pPr>
        <w:pStyle w:val="2"/>
        <w:keepNext/>
        <w:keepLines w:val="0"/>
        <w:pageBreakBefore w:val="0"/>
        <w:widowControl w:val="0"/>
        <w:numPr>
          <w:ilvl w:val="0"/>
          <w:numId w:val="16"/>
        </w:numPr>
        <w:kinsoku/>
        <w:wordWrap/>
        <w:overflowPunct/>
        <w:topLinePunct w:val="0"/>
        <w:autoSpaceDE/>
        <w:autoSpaceDN/>
        <w:bidi w:val="0"/>
        <w:adjustRightInd/>
        <w:snapToGrid w:val="0"/>
        <w:spacing w:before="381" w:beforeLines="100" w:after="381" w:afterLines="100" w:line="360" w:lineRule="auto"/>
        <w:ind w:left="1531" w:hanging="1531"/>
        <w:textAlignment w:val="auto"/>
        <w:rPr>
          <w:rFonts w:ascii="宋体" w:hAnsi="宋体" w:eastAsia="宋体"/>
          <w:color w:val="auto"/>
        </w:rPr>
      </w:pPr>
      <w:bookmarkStart w:id="24" w:name="_Toc441065660"/>
      <w:r>
        <w:rPr>
          <w:rFonts w:ascii="宋体" w:hAnsi="宋体" w:eastAsia="宋体"/>
        </w:rPr>
        <w:br w:type="page"/>
      </w:r>
      <w:r>
        <w:rPr>
          <w:rFonts w:hint="eastAsia" w:ascii="宋体" w:hAnsi="宋体" w:eastAsia="宋体"/>
          <w:lang w:val="en-US" w:eastAsia="zh-CN"/>
        </w:rPr>
        <w:t xml:space="preserve"> </w:t>
      </w:r>
      <w:bookmarkStart w:id="25" w:name="_Toc11332"/>
      <w:r>
        <w:rPr>
          <w:rFonts w:hint="eastAsia" w:ascii="宋体" w:hAnsi="宋体" w:eastAsia="宋体"/>
          <w:color w:val="auto"/>
        </w:rPr>
        <w:t>维保技术要求</w:t>
      </w:r>
      <w:bookmarkEnd w:id="24"/>
      <w:bookmarkEnd w:id="25"/>
      <w:bookmarkStart w:id="26" w:name="_Toc441065661"/>
    </w:p>
    <w:bookmarkEnd w:id="26"/>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jc w:val="center"/>
        <w:textAlignment w:val="auto"/>
        <w:rPr>
          <w:b/>
          <w:sz w:val="32"/>
          <w:szCs w:val="22"/>
        </w:rPr>
      </w:pPr>
      <w:bookmarkStart w:id="27" w:name="_Toc13205"/>
      <w:r>
        <w:rPr>
          <w:rFonts w:hint="eastAsia"/>
          <w:b/>
          <w:sz w:val="32"/>
          <w:szCs w:val="22"/>
        </w:rPr>
        <w:t>第一部分 技术要求</w:t>
      </w:r>
      <w:bookmarkEnd w:id="27"/>
    </w:p>
    <w:p>
      <w:pPr>
        <w:pStyle w:val="4"/>
        <w:keepNext/>
        <w:keepLines/>
        <w:pageBreakBefore w:val="0"/>
        <w:widowControl w:val="0"/>
        <w:numPr>
          <w:ilvl w:val="0"/>
          <w:numId w:val="17"/>
        </w:numPr>
        <w:kinsoku/>
        <w:wordWrap/>
        <w:overflowPunct/>
        <w:topLinePunct w:val="0"/>
        <w:autoSpaceDE/>
        <w:autoSpaceDN/>
        <w:bidi w:val="0"/>
        <w:adjustRightInd/>
        <w:snapToGrid/>
        <w:spacing w:before="381" w:beforeLines="100" w:after="381" w:afterLines="100" w:line="360" w:lineRule="auto"/>
        <w:jc w:val="left"/>
        <w:textAlignment w:val="auto"/>
        <w:rPr>
          <w:rFonts w:ascii="宋体" w:hAnsi="宋体"/>
          <w:color w:val="auto"/>
          <w:sz w:val="28"/>
          <w:szCs w:val="28"/>
        </w:rPr>
      </w:pPr>
      <w:r>
        <w:rPr>
          <w:rFonts w:hint="eastAsia" w:ascii="宋体" w:hAnsi="宋体"/>
          <w:color w:val="auto"/>
          <w:sz w:val="28"/>
          <w:szCs w:val="28"/>
        </w:rPr>
        <w:t>技术总体说明及要求</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Cs w:val="24"/>
        </w:rPr>
      </w:pPr>
      <w:r>
        <w:rPr>
          <w:rFonts w:hint="eastAsia" w:ascii="宋体" w:hAnsi="宋体"/>
          <w:color w:val="auto"/>
          <w:sz w:val="18"/>
          <w:szCs w:val="18"/>
        </w:rPr>
        <w:t>■</w:t>
      </w:r>
      <w:r>
        <w:rPr>
          <w:rFonts w:hint="eastAsia" w:ascii="宋体" w:hAnsi="宋体"/>
          <w:color w:val="auto"/>
          <w:sz w:val="24"/>
          <w:szCs w:val="24"/>
        </w:rPr>
        <w:t>区域应用技术平台需采用C/S/S，B/S/S三层混合架构，使用最新的大数据相关技术，保证技术的先进性；</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Cs w:val="24"/>
        </w:rPr>
      </w:pPr>
      <w:r>
        <w:rPr>
          <w:rFonts w:hint="eastAsia" w:ascii="宋体" w:hAnsi="宋体"/>
          <w:color w:val="auto"/>
          <w:sz w:val="18"/>
          <w:szCs w:val="18"/>
        </w:rPr>
        <w:t>■</w:t>
      </w:r>
      <w:r>
        <w:rPr>
          <w:rFonts w:hint="eastAsia" w:ascii="宋体" w:hAnsi="宋体"/>
          <w:color w:val="auto"/>
          <w:sz w:val="24"/>
          <w:szCs w:val="24"/>
        </w:rPr>
        <w:t>统一数据平台中各类数据具备长期性，能够满足全量数据在线查询需求；</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采用总线拓扑结构,为医疗机构之间实现松耦合的面向服务架构提供了基础；</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数据平台能够具有容灾备份能力，确保平台运行的安全性；</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Cs w:val="24"/>
        </w:rPr>
      </w:pPr>
      <w:r>
        <w:rPr>
          <w:rFonts w:hint="eastAsia" w:ascii="宋体" w:hAnsi="宋体"/>
          <w:color w:val="auto"/>
          <w:sz w:val="18"/>
          <w:szCs w:val="18"/>
        </w:rPr>
        <w:t>■</w:t>
      </w:r>
      <w:r>
        <w:rPr>
          <w:rFonts w:hint="eastAsia" w:ascii="宋体" w:hAnsi="宋体"/>
          <w:color w:val="auto"/>
          <w:sz w:val="24"/>
          <w:szCs w:val="24"/>
        </w:rPr>
        <w:t>主数据管理，系统间可共享的、不经常变化的数据，是业务数据的基础或者行为对象，是实现信息共享、解决信息孤岛和实现系统协同应用的基础</w:t>
      </w:r>
      <w:r>
        <w:rPr>
          <w:rFonts w:hint="eastAsia" w:ascii="宋体" w:hAnsi="宋体"/>
          <w:color w:val="auto"/>
          <w:szCs w:val="24"/>
        </w:rPr>
        <w:t>；</w:t>
      </w:r>
    </w:p>
    <w:p>
      <w:pPr>
        <w:pStyle w:val="22"/>
        <w:keepNext w:val="0"/>
        <w:keepLines w:val="0"/>
        <w:pageBreakBefore w:val="0"/>
        <w:kinsoku w:val="0"/>
        <w:wordWrap/>
        <w:overflowPunct w:val="0"/>
        <w:topLinePunct w:val="0"/>
        <w:autoSpaceDE/>
        <w:autoSpaceDN/>
        <w:bidi w:val="0"/>
        <w:adjustRightInd/>
        <w:snapToGrid/>
        <w:spacing w:line="360" w:lineRule="auto"/>
        <w:ind w:right="105" w:firstLine="360" w:firstLineChars="200"/>
        <w:jc w:val="left"/>
        <w:rPr>
          <w:rFonts w:ascii="宋体" w:hAnsi="宋体" w:eastAsia="宋体"/>
          <w:color w:val="auto"/>
          <w:sz w:val="24"/>
          <w:szCs w:val="24"/>
        </w:rPr>
      </w:pPr>
      <w:r>
        <w:rPr>
          <w:rFonts w:hint="eastAsia" w:ascii="宋体" w:hAnsi="宋体"/>
          <w:color w:val="auto"/>
          <w:sz w:val="18"/>
          <w:szCs w:val="18"/>
        </w:rPr>
        <w:t>■</w:t>
      </w:r>
      <w:r>
        <w:rPr>
          <w:rFonts w:hint="eastAsia" w:ascii="宋体" w:hAnsi="宋体" w:eastAsia="宋体"/>
          <w:color w:val="auto"/>
          <w:sz w:val="24"/>
          <w:szCs w:val="24"/>
        </w:rPr>
        <w:t>多应用服务器集中/分布式组网支持；静态负载均衡和简单动态负载均衡；动态寻址服务和消息转发服务；更适合多分支机构/区域级多层复杂业务应用开发。</w:t>
      </w:r>
    </w:p>
    <w:p>
      <w:pPr>
        <w:pStyle w:val="22"/>
        <w:keepNext w:val="0"/>
        <w:keepLines w:val="0"/>
        <w:pageBreakBefore w:val="0"/>
        <w:kinsoku w:val="0"/>
        <w:wordWrap/>
        <w:overflowPunct w:val="0"/>
        <w:topLinePunct w:val="0"/>
        <w:autoSpaceDE/>
        <w:autoSpaceDN/>
        <w:bidi w:val="0"/>
        <w:adjustRightInd/>
        <w:snapToGrid/>
        <w:spacing w:line="360" w:lineRule="auto"/>
        <w:ind w:right="105" w:firstLine="360" w:firstLineChars="200"/>
        <w:rPr>
          <w:rFonts w:ascii="宋体" w:hAnsi="宋体" w:eastAsia="宋体"/>
          <w:color w:val="auto"/>
          <w:sz w:val="24"/>
          <w:szCs w:val="24"/>
        </w:rPr>
      </w:pPr>
      <w:r>
        <w:rPr>
          <w:rFonts w:hint="eastAsia" w:ascii="宋体" w:hAnsi="宋体"/>
          <w:color w:val="auto"/>
          <w:sz w:val="18"/>
          <w:szCs w:val="18"/>
        </w:rPr>
        <w:t>■</w:t>
      </w:r>
      <w:r>
        <w:rPr>
          <w:rFonts w:hint="eastAsia" w:ascii="宋体" w:hAnsi="宋体" w:eastAsia="宋体"/>
          <w:color w:val="auto"/>
          <w:sz w:val="24"/>
          <w:szCs w:val="24"/>
        </w:rPr>
        <w:t>提供多种技术架构的服务端插件框架；支持热插拔、远程插拔模块；支持单线程/多线程模式；支持模块永久驻留/延迟卸载/计划任务；灵活的模块化复用提升开发效率、性能和稳定性。</w:t>
      </w:r>
    </w:p>
    <w:p>
      <w:pPr>
        <w:pStyle w:val="22"/>
        <w:keepNext w:val="0"/>
        <w:keepLines w:val="0"/>
        <w:pageBreakBefore w:val="0"/>
        <w:kinsoku w:val="0"/>
        <w:wordWrap/>
        <w:overflowPunct w:val="0"/>
        <w:topLinePunct w:val="0"/>
        <w:autoSpaceDE/>
        <w:autoSpaceDN/>
        <w:bidi w:val="0"/>
        <w:adjustRightInd/>
        <w:snapToGrid/>
        <w:spacing w:line="360" w:lineRule="auto"/>
        <w:ind w:right="105" w:firstLine="360" w:firstLineChars="200"/>
        <w:rPr>
          <w:rFonts w:ascii="宋体" w:hAnsi="宋体" w:eastAsia="宋体"/>
          <w:color w:val="auto"/>
          <w:sz w:val="24"/>
          <w:szCs w:val="24"/>
        </w:rPr>
      </w:pPr>
      <w:r>
        <w:rPr>
          <w:rFonts w:hint="eastAsia" w:ascii="宋体" w:hAnsi="宋体"/>
          <w:color w:val="auto"/>
          <w:sz w:val="18"/>
          <w:szCs w:val="18"/>
        </w:rPr>
        <w:t>■</w:t>
      </w:r>
      <w:r>
        <w:rPr>
          <w:rFonts w:hint="eastAsia" w:ascii="宋体" w:hAnsi="宋体" w:eastAsia="宋体"/>
          <w:color w:val="auto"/>
          <w:sz w:val="24"/>
          <w:szCs w:val="24"/>
        </w:rPr>
        <w:t>支持各种主流关系数据库；多数据库支持；异构数据库统一访问方法；</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采用具有容错能力的软件设计，具有故障对策和系统监控功能，可定时自动与手动进行数据库系统、图像数据的备份；</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可支持全院、区域混合模式，云影像调阅方式，跨院级访问影像</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支持按需诊断，二次审核、远程影像诊断与远程影像会诊模式；</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支持区域基础数据交换、区域消息交互、区域诊断数据交互；</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产品必须为中文界面，所有应用软件具有高度易用性、简便性、先进性、扩展性、高可用性及高效率并行处理能力；平台具有高度可靠性，具有完善的应急方案。</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当整体网络发生故障时，提供网络和院内切换方案，能优先保证检查工作连续性不停顿，当系统故障恢复后提供故障期间数据自动上传统归档方案；</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充分考虑容灾原则，提供定时自动备份及数据迁移功能，支持影像数据自动备份；</w:t>
      </w:r>
    </w:p>
    <w:p>
      <w:pPr>
        <w:keepNext w:val="0"/>
        <w:keepLines w:val="0"/>
        <w:pageBreakBefore w:val="0"/>
        <w:widowControl/>
        <w:wordWrap/>
        <w:topLinePunct w:val="0"/>
        <w:autoSpaceDE/>
        <w:autoSpaceDN/>
        <w:bidi w:val="0"/>
        <w:adjustRightInd/>
        <w:snapToGrid/>
        <w:spacing w:line="360" w:lineRule="auto"/>
        <w:ind w:firstLine="360" w:firstLineChars="200"/>
        <w:textAlignment w:val="center"/>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支持采用虚拟存储技术，建立一个可以整合各种存储物理设备为一体的虚拟存储系统</w:t>
      </w:r>
      <w:r>
        <w:rPr>
          <w:rFonts w:hint="eastAsia" w:ascii="宋体" w:hAnsi="宋体"/>
          <w:color w:val="auto"/>
          <w:sz w:val="24"/>
          <w:szCs w:val="24"/>
          <w:lang w:eastAsia="zh-CN"/>
        </w:rPr>
        <w:t>，</w:t>
      </w:r>
      <w:r>
        <w:rPr>
          <w:rFonts w:hint="eastAsia" w:ascii="宋体" w:hAnsi="宋体"/>
          <w:color w:val="auto"/>
          <w:sz w:val="24"/>
          <w:szCs w:val="24"/>
        </w:rPr>
        <w:t>并用专业的数据库管理数据，实现数据的实时镜像、高速近线存储。同时还要满足未来存储容量的在线不断扩充；</w:t>
      </w:r>
    </w:p>
    <w:p>
      <w:pPr>
        <w:keepNext w:val="0"/>
        <w:keepLines w:val="0"/>
        <w:pageBreakBefore w:val="0"/>
        <w:widowControl/>
        <w:wordWrap/>
        <w:topLinePunct w:val="0"/>
        <w:autoSpaceDE/>
        <w:autoSpaceDN/>
        <w:bidi w:val="0"/>
        <w:adjustRightInd/>
        <w:snapToGrid/>
        <w:spacing w:line="360" w:lineRule="auto"/>
        <w:ind w:firstLine="360" w:firstLineChars="200"/>
        <w:textAlignment w:val="center"/>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提供历史数据采集、实时数据接入、数据集中存储、数据质理治理和数据对外服务等功能；</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实现区域患者数据实时或者定时上传下达交互功能</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实现区域患者影像、报告图片等会诊数据的上传下达功能以及路由功能；</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系统管理功能，提供自定义的交互和共享参数设定；</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提供数据库核心访问，提升数据库访问安全；</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数据库管理服务，提供管理各类数据库远程连接的功能；</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负载均衡管理功能，提供多服务器之间负载均衡功能；</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数据库访问管控功能， 提供对数据库访问权限控制；</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日志功能，动态显示数据库服务的各类相关日志信息；</w:t>
      </w:r>
    </w:p>
    <w:p>
      <w:pPr>
        <w:keepNext w:val="0"/>
        <w:keepLines w:val="0"/>
        <w:pageBreakBefore w:val="0"/>
        <w:wordWrap/>
        <w:topLinePunct w:val="0"/>
        <w:autoSpaceDE/>
        <w:autoSpaceDN/>
        <w:bidi w:val="0"/>
        <w:adjustRightInd/>
        <w:snapToGrid/>
        <w:spacing w:line="360" w:lineRule="auto"/>
        <w:ind w:firstLine="360" w:firstLineChars="200"/>
        <w:rPr>
          <w:rFonts w:ascii="宋体" w:hAnsi="宋体"/>
          <w:color w:val="auto"/>
          <w:sz w:val="24"/>
          <w:szCs w:val="24"/>
        </w:rPr>
      </w:pPr>
      <w:r>
        <w:rPr>
          <w:rFonts w:hint="eastAsia" w:ascii="宋体" w:hAnsi="宋体"/>
          <w:color w:val="auto"/>
          <w:sz w:val="18"/>
          <w:szCs w:val="18"/>
        </w:rPr>
        <w:t>■</w:t>
      </w:r>
      <w:r>
        <w:rPr>
          <w:rFonts w:hint="eastAsia" w:ascii="宋体" w:hAnsi="宋体"/>
          <w:color w:val="auto"/>
          <w:sz w:val="24"/>
          <w:szCs w:val="24"/>
        </w:rPr>
        <w:t>系统内的资料不得因软件或者硬件的故障而丢失，系统内的资料不得在未经授权的情况下被建立、修改和拷贝。</w:t>
      </w:r>
    </w:p>
    <w:p>
      <w:pPr>
        <w:pStyle w:val="4"/>
        <w:keepNext/>
        <w:keepLines/>
        <w:pageBreakBefore w:val="0"/>
        <w:widowControl w:val="0"/>
        <w:numPr>
          <w:ilvl w:val="0"/>
          <w:numId w:val="17"/>
        </w:numPr>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rPr>
        <w:t>主要功能参数及要求</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5"/>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功能模块</w:t>
            </w:r>
          </w:p>
        </w:tc>
        <w:tc>
          <w:tcPr>
            <w:tcW w:w="7336"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数据管理功能：</w:t>
            </w:r>
          </w:p>
        </w:tc>
        <w:tc>
          <w:tcPr>
            <w:tcW w:w="7336" w:type="dxa"/>
          </w:tcPr>
          <w:p>
            <w:pPr>
              <w:rPr>
                <w:rFonts w:hint="eastAsia" w:ascii="宋体" w:hAnsi="宋体" w:eastAsia="宋体" w:cs="宋体"/>
                <w:color w:val="auto"/>
                <w:sz w:val="21"/>
                <w:szCs w:val="21"/>
              </w:rPr>
            </w:pPr>
            <w:r>
              <w:rPr>
                <w:rFonts w:hint="eastAsia" w:ascii="宋体" w:hAnsi="宋体" w:eastAsia="宋体" w:cs="宋体"/>
                <w:color w:val="auto"/>
                <w:kern w:val="0"/>
                <w:sz w:val="21"/>
                <w:szCs w:val="21"/>
              </w:rPr>
              <w:t>采用C/S/S、B/S/S三层混合架构，提供给区域相关管理人员，集中维护区域应用平台整体方案中的各类公用数据并进行后台维护；提供针对移动、PC端的医师之间、医师与患者之间的交流应用服务；提供区域内各医疗机构的相关医疗设备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w:t>
            </w:r>
          </w:p>
        </w:tc>
        <w:tc>
          <w:tcPr>
            <w:tcW w:w="1135"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数据访问功能：</w:t>
            </w:r>
          </w:p>
        </w:tc>
        <w:tc>
          <w:tcPr>
            <w:tcW w:w="7336" w:type="dxa"/>
          </w:tcPr>
          <w:p>
            <w:pPr>
              <w:rPr>
                <w:rFonts w:hint="eastAsia" w:ascii="宋体" w:hAnsi="宋体" w:eastAsia="宋体" w:cs="宋体"/>
                <w:color w:val="auto"/>
                <w:sz w:val="21"/>
                <w:szCs w:val="21"/>
              </w:rPr>
            </w:pPr>
            <w:r>
              <w:rPr>
                <w:rFonts w:hint="eastAsia" w:ascii="宋体" w:hAnsi="宋体" w:eastAsia="宋体" w:cs="宋体"/>
                <w:color w:val="auto"/>
                <w:kern w:val="0"/>
                <w:sz w:val="21"/>
                <w:szCs w:val="21"/>
              </w:rPr>
              <w:t>提供远程数据库访问，病灶图片的上传下载及调阅，并提供区域、院内消息的处理和发布；支持区域数据交互、超时检查、数据达到等的微信协同通知。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数据存储功能</w:t>
            </w:r>
            <w:r>
              <w:rPr>
                <w:rFonts w:hint="eastAsia" w:ascii="宋体" w:hAnsi="宋体" w:eastAsia="宋体" w:cs="宋体"/>
                <w:color w:val="auto"/>
                <w:kern w:val="0"/>
                <w:sz w:val="21"/>
                <w:szCs w:val="21"/>
              </w:rPr>
              <w:t>：</w:t>
            </w:r>
          </w:p>
        </w:tc>
        <w:tc>
          <w:tcPr>
            <w:tcW w:w="7336" w:type="dxa"/>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医学影像归档存储管理任务的核心角色，决定系统存储、归档、调阅效率、系统响应以及系统开放性特征的关键构成。保护患者隐私，遵从基层医疗结构的意愿，未经申请的诊疗数据只在基层卫生机构本地终端存储，不上传远程诊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系统管理功能：</w:t>
            </w:r>
          </w:p>
        </w:tc>
        <w:tc>
          <w:tcPr>
            <w:tcW w:w="7336" w:type="dxa"/>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采用C/S/S、B/S/S三层混合架构，提供于区域远程会诊申请、管理、资料上传、会诊报告相关维护；支持系统配置、模板的导入导出，提供相应的服务工具，快速恢复系统的备份数据。</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★支持自我流程监控和自我修复功能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★软件对运营业务的支持：支撑远程影像的运营和互联网服务，包括支持支付结算应用、自助打印与云报告  ；</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★支持全院、区域混合模式，云影像调阅方式，跨院级访问影像；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区域统计系统</w:t>
            </w:r>
          </w:p>
        </w:tc>
        <w:tc>
          <w:tcPr>
            <w:tcW w:w="7336" w:type="dxa"/>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（1）实现区域各类设备、技师、诊断医师标准统计报表；</w:t>
            </w:r>
          </w:p>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（2）统计每月日等不同时间段放射科医生（报告人次、报告部位）、技师工作量（检查人次、检查部位）；</w:t>
            </w:r>
          </w:p>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（3）综合查询，支持自定义组合查询条件。查询条件可以按照各种逻辑运算（与/或/非/大于/小于/等于/近似….）的结果组合；</w:t>
            </w:r>
          </w:p>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（4）相关统计，至少包括：设备工作量统计、登记员工作量统计、医生工作量统计、检查开单统计统计、曝光量、胶片量统计；</w:t>
            </w:r>
          </w:p>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（5）支持区域阳性率统计；</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（6）区域诊断符合率统计；</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（7）会诊中心工作量统计；</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（8）统计结果生成相应的报告，并可以进行浏览及打印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远程影像报告</w:t>
            </w:r>
          </w:p>
        </w:tc>
        <w:tc>
          <w:tcPr>
            <w:tcW w:w="7336" w:type="dxa"/>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实现区域患者数据实时或者定时上传下达交互；</w:t>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★实现区域患者影像、报告图片上传下达功能以及路由；</w:t>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提供自定义的交互和共享参数设定；</w:t>
            </w:r>
          </w:p>
          <w:p>
            <w:pPr>
              <w:rPr>
                <w:rFonts w:hint="eastAsia" w:ascii="宋体" w:hAnsi="宋体" w:eastAsia="宋体" w:cs="宋体"/>
                <w:color w:val="auto"/>
                <w:kern w:val="0"/>
                <w:sz w:val="21"/>
                <w:szCs w:val="21"/>
              </w:rPr>
            </w:pPr>
            <w:bookmarkStart w:id="28" w:name="_Hlk72176957"/>
            <w:r>
              <w:rPr>
                <w:rFonts w:hint="eastAsia" w:ascii="宋体" w:hAnsi="宋体" w:eastAsia="宋体" w:cs="宋体"/>
                <w:color w:val="auto"/>
                <w:kern w:val="0"/>
                <w:sz w:val="21"/>
                <w:szCs w:val="21"/>
              </w:rPr>
              <w:t>实现区域申请单、知情同意书上传基层及中心调阅功能</w:t>
            </w:r>
            <w:bookmarkEnd w:id="28"/>
            <w:r>
              <w:rPr>
                <w:rFonts w:hint="eastAsia" w:ascii="宋体" w:hAnsi="宋体" w:eastAsia="宋体" w:cs="宋体"/>
                <w:color w:val="auto"/>
                <w:kern w:val="0"/>
                <w:sz w:val="21"/>
                <w:szCs w:val="21"/>
              </w:rPr>
              <w:t>；</w:t>
            </w:r>
          </w:p>
          <w:p>
            <w:pPr>
              <w:rPr>
                <w:rFonts w:hint="eastAsia" w:ascii="宋体" w:hAnsi="宋体" w:eastAsia="宋体" w:cs="宋体"/>
                <w:color w:val="auto"/>
                <w:kern w:val="0"/>
                <w:sz w:val="21"/>
                <w:szCs w:val="21"/>
              </w:rPr>
            </w:pPr>
            <w:bookmarkStart w:id="29" w:name="_Hlk72176967"/>
            <w:r>
              <w:rPr>
                <w:rFonts w:hint="eastAsia" w:ascii="宋体" w:hAnsi="宋体" w:eastAsia="宋体" w:cs="宋体"/>
                <w:color w:val="auto"/>
                <w:kern w:val="0"/>
                <w:sz w:val="21"/>
                <w:szCs w:val="21"/>
              </w:rPr>
              <w:t>支持区域报告模板管理，根据需求提供标准化诊断报告模板，在允许的范围内支持个性化模板设置，允许自定义报告模板，可按需选择图像插入。</w:t>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支持区域公有模板和私有模板，并可以相互转换；</w:t>
            </w:r>
            <w:bookmarkEnd w:id="29"/>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支持基层影像报告选择发送指定中心功能；</w:t>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实施区域多级权限的报告书写审核功能；</w:t>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实现远程报告审核数据自动回传、指定回传功能；</w:t>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★提供区域内影像协同处理以及影像在线处理；</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支持报告回退流程；报告书写及审核权限分为三级：报告、审核、审核后修改权限；历史诊断报告列表功能，审核医生可查看当前病人历史诊断报告。</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根据投标人演示同一入口（远程\会诊\放射）其它界面操作方便，界面友好，能完整演示各项要求演示的功能；</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提供区域内医师之间的实时文字、语音、视频通信</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具备超时诊断提示；对诊断没有按时诊断可能导致的漏诊报告进行提醒。</w:t>
            </w:r>
          </w:p>
          <w:p>
            <w:pPr>
              <w:rPr>
                <w:rFonts w:hint="eastAsia" w:ascii="宋体" w:hAnsi="宋体" w:eastAsia="宋体" w:cs="宋体"/>
                <w:color w:val="auto"/>
                <w:sz w:val="21"/>
                <w:szCs w:val="21"/>
              </w:rPr>
            </w:pPr>
            <w:r>
              <w:rPr>
                <w:rFonts w:hint="eastAsia" w:ascii="宋体" w:hAnsi="宋体" w:eastAsia="宋体" w:cs="宋体"/>
                <w:color w:val="auto"/>
                <w:sz w:val="21"/>
                <w:szCs w:val="21"/>
              </w:rPr>
              <w:t>具备会诊通知与微信消息同步，且支持语音播报提供区域内影</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协同处理以及影像在线处理；</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★支持男女性别自动匹配术语设置处理及提示警告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7</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远程影像诊断</w:t>
            </w:r>
          </w:p>
        </w:tc>
        <w:tc>
          <w:tcPr>
            <w:tcW w:w="7336" w:type="dxa"/>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■提供不同影像检查序列自动同层定位功能，可以对不同时间、不同类型的CT, MR影像自匹配定位，方便对比读片；</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■可同时调阅一个或多个患者不同诊断序列的影像对比显示和诊断；</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显示患者的历史检查报告以及影像信息数据，用户可以点击后■直接加载感兴趣的既往检查进行对比读片；</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■支持MR和CT影像的定位线显示，并可直接定位到对应断层；■支持测量与批注功能，单点灰阶、矩形、圆形、多边形、线段，联机夹角、非联机夹角测量及文字、数字、箭头标记等；</w:t>
            </w:r>
          </w:p>
          <w:p>
            <w:pPr>
              <w:rPr>
                <w:rFonts w:hint="eastAsia" w:ascii="宋体" w:hAnsi="宋体" w:eastAsia="宋体" w:cs="宋体"/>
                <w:color w:val="auto"/>
                <w:sz w:val="21"/>
                <w:szCs w:val="21"/>
              </w:rPr>
            </w:pPr>
            <w:r>
              <w:rPr>
                <w:rFonts w:hint="eastAsia" w:ascii="宋体" w:hAnsi="宋体" w:eastAsia="宋体" w:cs="宋体"/>
                <w:color w:val="auto"/>
                <w:sz w:val="21"/>
                <w:szCs w:val="21"/>
              </w:rPr>
              <w:t>可根据不同图像要求快捷方式调整窗宽窗位。定位线显示和跟踪；</w:t>
            </w:r>
          </w:p>
          <w:p>
            <w:pPr>
              <w:rPr>
                <w:rFonts w:hint="eastAsia" w:ascii="宋体" w:hAnsi="宋体" w:eastAsia="宋体" w:cs="宋体"/>
                <w:color w:val="auto"/>
                <w:sz w:val="21"/>
                <w:szCs w:val="21"/>
              </w:rPr>
            </w:pPr>
            <w:r>
              <w:rPr>
                <w:rFonts w:hint="eastAsia" w:ascii="宋体" w:hAnsi="宋体" w:eastAsia="宋体" w:cs="宋体"/>
                <w:color w:val="auto"/>
                <w:sz w:val="21"/>
                <w:szCs w:val="21"/>
              </w:rPr>
              <w:t>■图像变换：提供图像显示移动、水平和垂直镜像、旋转、翻转功能等影像显示功能；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■多幅动态回放（可同步回放）；显示MPR/MIP动态回放；图像锐化和加强边界过滤功能；支持切面显示，固定显示图像；</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MR和CT影像的定位线显示，并可直接定位到对应断层；■支持测量与批注功能，单点灰阶、矩形、圆形、多边形、线段，联机夹角、非联机夹角测量及文字、数字、箭头标记；具备MPR功能（轴、冠、矢状位、曲面等多平面重建）；</w:t>
            </w:r>
          </w:p>
          <w:p>
            <w:pP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实现二维影像的基础处理功能，包括窗宽窗位调整、缩放、放大镜、各类测量等；标志和显示关键图像；可以保存多组用户调节、处理影像的结果，包括：测量、旋转、注释、打印等多种状态；</w:t>
            </w:r>
          </w:p>
          <w:p>
            <w:pPr>
              <w:rPr>
                <w:rFonts w:hint="eastAsia" w:ascii="宋体" w:hAnsi="宋体" w:eastAsia="宋体" w:cs="宋体"/>
                <w:color w:val="auto"/>
                <w:sz w:val="21"/>
                <w:szCs w:val="21"/>
              </w:rPr>
            </w:pPr>
            <w:r>
              <w:rPr>
                <w:rFonts w:hint="eastAsia" w:ascii="宋体" w:hAnsi="宋体" w:eastAsia="宋体" w:cs="宋体"/>
                <w:color w:val="auto"/>
                <w:sz w:val="21"/>
                <w:szCs w:val="21"/>
              </w:rPr>
              <w:t>■图像锐化和加强边界过滤功能；可进行影像局部放大，自由缩放功能，并可以自定义放大倍率；</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■支持多显示器显示，最多可支持4屏。一次检查的图像可以分布显示于多个显示器上，支持高分辨率灰阶及彩色医用显示器图像显示处理；</w:t>
            </w:r>
          </w:p>
          <w:p>
            <w:pPr>
              <w:rPr>
                <w:rFonts w:hint="eastAsia" w:ascii="宋体" w:hAnsi="宋体" w:eastAsia="宋体" w:cs="宋体"/>
                <w:color w:val="auto"/>
                <w:sz w:val="21"/>
                <w:szCs w:val="21"/>
              </w:rPr>
            </w:pPr>
            <w:r>
              <w:rPr>
                <w:rFonts w:hint="eastAsia" w:ascii="宋体" w:hAnsi="宋体" w:eastAsia="宋体" w:cs="宋体"/>
                <w:color w:val="auto"/>
                <w:sz w:val="21"/>
                <w:szCs w:val="21"/>
              </w:rPr>
              <w:t>■可直接由影像操作界面跳选至下一病患影像，不需回到查询界面；</w:t>
            </w:r>
          </w:p>
          <w:p>
            <w:pPr>
              <w:rPr>
                <w:rFonts w:hint="eastAsia" w:ascii="宋体" w:hAnsi="宋体" w:eastAsia="宋体" w:cs="宋体"/>
                <w:color w:val="auto"/>
                <w:sz w:val="21"/>
                <w:szCs w:val="21"/>
              </w:rPr>
            </w:pPr>
            <w:r>
              <w:rPr>
                <w:rFonts w:hint="eastAsia" w:ascii="宋体" w:hAnsi="宋体" w:eastAsia="宋体" w:cs="宋体"/>
                <w:color w:val="auto"/>
                <w:sz w:val="21"/>
                <w:szCs w:val="21"/>
              </w:rPr>
              <w:t>■胶片打印支持DICOM标准的排版格式、胶片尺寸，所见及所得的胶片打印界面，具有添加图像、删除图像、图像处理等功能；支持DICOM胶片打印机，支持各种打印机属性的设置；打印预览：打印效果预览；</w:t>
            </w:r>
          </w:p>
          <w:p>
            <w:pPr>
              <w:rPr>
                <w:rFonts w:hint="eastAsia" w:ascii="宋体" w:hAnsi="宋体" w:eastAsia="宋体" w:cs="宋体"/>
                <w:color w:val="auto"/>
                <w:sz w:val="21"/>
                <w:szCs w:val="21"/>
              </w:rPr>
            </w:pPr>
            <w:r>
              <w:rPr>
                <w:rFonts w:hint="eastAsia" w:ascii="宋体" w:hAnsi="宋体" w:eastAsia="宋体" w:cs="宋体"/>
                <w:color w:val="auto"/>
                <w:sz w:val="21"/>
                <w:szCs w:val="21"/>
              </w:rPr>
              <w:t>★区域远程影像在线互动诊断：会诊方与申请方图像调节需要能够保持实时同步，且保证图像显示效果完全一致(含移动位置、行列布局、窗宽窗位、大小、图像标准等)。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8</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远程会诊服务</w:t>
            </w:r>
          </w:p>
        </w:tc>
        <w:tc>
          <w:tcPr>
            <w:tcW w:w="7336" w:type="dxa"/>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■支持任意工作站发起会诊申请；</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■支持会诊时间安排通知；</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全面支持会诊文字、语音、视频通讯以及消息通知、传递、提醒，</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支持区域协同会诊、协同诊断功能；</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实现区域患者其他影像、报告、诊数、病历数据实时上传下达交互功能；</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■子站点影像浏览、上传、会诊及报告接收的等软件功能</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具备会诊通知与微信消息同步，且支持语音播报提供区域内影像协同处理以及影像在线处理</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■支持会诊意见书写、诊断报告书写；</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■实现会诊患者影像、报告图片等会诊数据的上传下达功能以及路由功能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9</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远程调阅服务</w:t>
            </w:r>
          </w:p>
        </w:tc>
        <w:tc>
          <w:tcPr>
            <w:tcW w:w="7336"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■基于远程影像服务，即区域内授权医生可以通过通讯网络传来的影像、报告资料移动查阅资料</w:t>
            </w:r>
          </w:p>
          <w:p>
            <w:pPr>
              <w:rPr>
                <w:rFonts w:hint="eastAsia" w:ascii="宋体" w:hAnsi="宋体" w:eastAsia="宋体" w:cs="宋体"/>
                <w:color w:val="auto"/>
                <w:sz w:val="21"/>
                <w:szCs w:val="21"/>
              </w:rPr>
            </w:pPr>
            <w:r>
              <w:rPr>
                <w:rFonts w:hint="eastAsia" w:ascii="宋体" w:hAnsi="宋体" w:eastAsia="宋体" w:cs="宋体"/>
                <w:color w:val="auto"/>
                <w:sz w:val="21"/>
                <w:szCs w:val="21"/>
              </w:rPr>
              <w:t>■实现不同区域的医疗部门之间、医疗部门与病人之间、医疗■医学影像信息共享，基层工作人员提供丰富线上线下示教服务。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w:t>
            </w:r>
          </w:p>
        </w:tc>
        <w:tc>
          <w:tcPr>
            <w:tcW w:w="1135" w:type="dxa"/>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区域影像质控</w:t>
            </w:r>
          </w:p>
        </w:tc>
        <w:tc>
          <w:tcPr>
            <w:tcW w:w="7336" w:type="dxa"/>
          </w:tcPr>
          <w:p>
            <w:pP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有效地整理和管理区域内病人数据，对病人图像进行评分，可以方便的查询出需要进行图像质量评分的报告，可以调用指定报告的影像，并对该图像进行评分。支持人工影像质控功能，可以对影像甲乙丙废级质量进行分级，并可对胶片的使用进行统计查询；</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■支持书写报告打回重写功能；实施多级权限的报告审核功能；并对每个环节进行精准时间跟踪及记录。对于超时给于文字及声音提示。可进行日月多条件多维度报表查询显示；</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■支持报告回退流程；报告书写及审核权限分为三级：报告、审核、审核后修改权限；历史诊断报告列表功能，审核医生可查看当前病人历史诊断报告；</w:t>
            </w:r>
          </w:p>
          <w:p>
            <w:pPr>
              <w:rPr>
                <w:rFonts w:hint="eastAsia" w:ascii="宋体" w:hAnsi="宋体" w:eastAsia="宋体" w:cs="宋体"/>
                <w:color w:val="auto"/>
                <w:sz w:val="21"/>
                <w:szCs w:val="21"/>
              </w:rPr>
            </w:pPr>
            <w:r>
              <w:rPr>
                <w:rFonts w:hint="eastAsia" w:ascii="宋体" w:hAnsi="宋体" w:eastAsia="宋体" w:cs="宋体"/>
                <w:color w:val="auto"/>
                <w:sz w:val="21"/>
                <w:szCs w:val="21"/>
              </w:rPr>
              <w:t>★支持影像报告质控评分打分记录处理</w:t>
            </w:r>
          </w:p>
        </w:tc>
      </w:tr>
    </w:tbl>
    <w:p>
      <w:pPr>
        <w:pStyle w:val="119"/>
        <w:ind w:left="630"/>
      </w:pP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jc w:val="center"/>
        <w:textAlignment w:val="auto"/>
        <w:rPr>
          <w:rFonts w:hint="eastAsia"/>
          <w:b/>
          <w:sz w:val="32"/>
          <w:szCs w:val="22"/>
        </w:rPr>
      </w:pPr>
      <w:bookmarkStart w:id="30" w:name="_Toc21280"/>
      <w:r>
        <w:rPr>
          <w:rFonts w:hint="eastAsia"/>
          <w:b/>
          <w:sz w:val="32"/>
          <w:szCs w:val="22"/>
        </w:rPr>
        <w:t>第二部分 商务要求</w:t>
      </w:r>
      <w:bookmarkEnd w:id="30"/>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ascii="宋体" w:hAnsi="宋体"/>
          <w:color w:val="auto"/>
          <w:sz w:val="28"/>
          <w:szCs w:val="28"/>
        </w:rPr>
      </w:pPr>
      <w:r>
        <w:rPr>
          <w:rFonts w:hint="eastAsia" w:ascii="宋体" w:hAnsi="宋体"/>
          <w:color w:val="auto"/>
          <w:sz w:val="28"/>
          <w:szCs w:val="28"/>
        </w:rPr>
        <w:t>一、维保期限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（一）服务期：</w:t>
      </w:r>
      <w:r>
        <w:rPr>
          <w:rFonts w:hint="eastAsia" w:ascii="宋体" w:hAnsi="宋体"/>
          <w:color w:val="auto"/>
          <w:sz w:val="24"/>
          <w:szCs w:val="24"/>
          <w:lang w:val="en-US" w:eastAsia="zh-CN"/>
        </w:rPr>
        <w:t xml:space="preserve"> </w:t>
      </w:r>
      <w:r>
        <w:rPr>
          <w:rFonts w:hint="eastAsia" w:ascii="宋体" w:hAnsi="宋体"/>
          <w:color w:val="auto"/>
          <w:sz w:val="24"/>
          <w:szCs w:val="24"/>
        </w:rPr>
        <w:t>从</w:t>
      </w:r>
      <w:r>
        <w:rPr>
          <w:rFonts w:hint="eastAsia" w:ascii="宋体" w:hAnsi="宋体"/>
          <w:color w:val="auto"/>
          <w:sz w:val="24"/>
          <w:szCs w:val="24"/>
          <w:lang w:val="en-US" w:eastAsia="zh-CN"/>
        </w:rPr>
        <w:t>签订合同</w:t>
      </w:r>
      <w:r>
        <w:rPr>
          <w:rFonts w:hint="eastAsia" w:ascii="宋体" w:hAnsi="宋体"/>
          <w:color w:val="auto"/>
          <w:sz w:val="24"/>
          <w:szCs w:val="24"/>
        </w:rPr>
        <w:t>之日算起。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（二）服务地点：所有使用北碚区远程影像诊断系统的医疗机构。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（三）</w:t>
      </w:r>
      <w:r>
        <w:rPr>
          <w:rFonts w:hint="eastAsia" w:ascii="宋体" w:hAnsi="宋体"/>
          <w:color w:val="auto"/>
          <w:sz w:val="24"/>
          <w:szCs w:val="24"/>
        </w:rPr>
        <w:t>维保期（服务期）：</w:t>
      </w:r>
      <w:r>
        <w:rPr>
          <w:rFonts w:hint="eastAsia" w:ascii="宋体" w:hAnsi="宋体"/>
          <w:color w:val="auto"/>
          <w:sz w:val="24"/>
          <w:szCs w:val="24"/>
          <w:lang w:val="en-US" w:eastAsia="zh-CN"/>
        </w:rPr>
        <w:t>3</w:t>
      </w:r>
      <w:r>
        <w:rPr>
          <w:rFonts w:hint="eastAsia" w:ascii="宋体" w:hAnsi="宋体"/>
          <w:color w:val="auto"/>
          <w:sz w:val="24"/>
          <w:szCs w:val="24"/>
        </w:rPr>
        <w:t>年</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rPr>
        <w:t>二、维保要求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维保期间保障远程影像诊断服务器操作系统的正常运行，及时按照操作系统的补丁；操作系统的优化以及问题解决。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监测区域远程影像诊断服务器操作系统的工作日志；杀毒软件的定期杀毒和升级；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保障区域远程影像诊断服务器各功能服务系统的正常运行；影像服务系统出现问题的得到立即解决；保障区域远程影像诊断服务系统的补丁更新升级；服务系统的管理维护。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保障区域远程影像诊断系统各系统功能模块医生正常流畅使用开展远程业务。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协助医院区域远程工作流程制度的制定，管理制度的完善，运行记录文档的完善，故障分析文档的完善；维护操作文档的完善；医疗质量评估文档的完善。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保障医疗存储系统的正常运行；监控业务存储的运行情况和备份存储的备份情况；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监控记录业务和区域服务硬件故障提示和告警；对存储的性能进行监控；存储硬件出现问题需要及时维修；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不定时监控影像服务器硬盘运行状态；服务器CPU、内存、硬盘使用情况管理；服务器系统进程管理，保证最优方式开展远程服务；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w:t>
      </w:r>
      <w:r>
        <w:rPr>
          <w:rFonts w:hint="eastAsia" w:ascii="宋体" w:hAnsi="宋体" w:eastAsia="宋体" w:cs="宋体"/>
          <w:color w:val="auto"/>
          <w:sz w:val="24"/>
          <w:szCs w:val="24"/>
        </w:rPr>
        <w:t>每半年进行一次满意度调查作为工作指导；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w:t>
      </w:r>
      <w:r>
        <w:rPr>
          <w:rFonts w:hint="eastAsia" w:ascii="宋体" w:hAnsi="宋体" w:eastAsia="宋体" w:cs="宋体"/>
          <w:color w:val="auto"/>
          <w:sz w:val="24"/>
          <w:szCs w:val="24"/>
        </w:rPr>
        <w:t>每次维护作好服务记录、远程维护、远程电话、远程方式解决、用户投诉次数统计，年度上门运维现场处理次数记录；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11</w:t>
      </w:r>
      <w:r>
        <w:rPr>
          <w:rFonts w:hint="eastAsia" w:ascii="宋体" w:hAnsi="宋体" w:cs="宋体"/>
          <w:color w:val="auto"/>
          <w:sz w:val="24"/>
          <w:szCs w:val="24"/>
          <w:lang w:eastAsia="zh-CN"/>
        </w:rPr>
        <w:t>）</w:t>
      </w:r>
      <w:r>
        <w:rPr>
          <w:rFonts w:hint="eastAsia" w:ascii="宋体" w:hAnsi="宋体" w:eastAsia="宋体" w:cs="宋体"/>
          <w:color w:val="auto"/>
          <w:sz w:val="24"/>
          <w:szCs w:val="24"/>
        </w:rPr>
        <w:t>每半年提交一次整体维保业务总结报告及工作改进报告；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12</w:t>
      </w:r>
      <w:r>
        <w:rPr>
          <w:rFonts w:hint="eastAsia" w:ascii="宋体" w:hAnsi="宋体" w:cs="宋体"/>
          <w:color w:val="auto"/>
          <w:sz w:val="24"/>
          <w:szCs w:val="24"/>
          <w:lang w:eastAsia="zh-CN"/>
        </w:rPr>
        <w:t>）</w:t>
      </w:r>
      <w:r>
        <w:rPr>
          <w:rFonts w:hint="eastAsia" w:ascii="宋体" w:hAnsi="宋体" w:eastAsia="宋体" w:cs="宋体"/>
          <w:color w:val="auto"/>
          <w:sz w:val="24"/>
          <w:szCs w:val="24"/>
        </w:rPr>
        <w:t>质保期间中标人提供免费系统维护和升级服务、人员使用培训。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13</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提供软件免费维护、升级、适应性修改。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14</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提供7*24小时电话、网络、微信服务号等远程技术支持服务。如遇重大问题需现场处理乙方须在2小时内到达故障现场。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提供系统运行安全保障服务，提供系统数据安全保障服务。</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rPr>
        <w:t>三、响应级别</w:t>
      </w:r>
    </w:p>
    <w:p>
      <w:pPr>
        <w:jc w:val="left"/>
        <w:rPr>
          <w:rFonts w:ascii="仿宋" w:hAnsi="仿宋" w:eastAsia="仿宋"/>
          <w:color w:val="auto"/>
          <w:szCs w:val="28"/>
        </w:rPr>
      </w:pPr>
    </w:p>
    <w:tbl>
      <w:tblPr>
        <w:tblStyle w:val="58"/>
        <w:tblW w:w="0" w:type="auto"/>
        <w:jc w:val="center"/>
        <w:tblLayout w:type="fixed"/>
        <w:tblCellMar>
          <w:top w:w="0" w:type="dxa"/>
          <w:left w:w="108" w:type="dxa"/>
          <w:bottom w:w="0" w:type="dxa"/>
          <w:right w:w="108" w:type="dxa"/>
        </w:tblCellMar>
      </w:tblPr>
      <w:tblGrid>
        <w:gridCol w:w="3967"/>
        <w:gridCol w:w="2552"/>
        <w:gridCol w:w="2039"/>
      </w:tblGrid>
      <w:tr>
        <w:tblPrEx>
          <w:tblCellMar>
            <w:top w:w="0" w:type="dxa"/>
            <w:left w:w="108" w:type="dxa"/>
            <w:bottom w:w="0" w:type="dxa"/>
            <w:right w:w="108" w:type="dxa"/>
          </w:tblCellMar>
        </w:tblPrEx>
        <w:trPr>
          <w:trHeight w:val="470" w:hRule="atLeast"/>
          <w:jc w:val="center"/>
        </w:trPr>
        <w:tc>
          <w:tcPr>
            <w:tcW w:w="3967"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adjustRightInd w:val="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故障级别</w:t>
            </w:r>
          </w:p>
        </w:tc>
        <w:tc>
          <w:tcPr>
            <w:tcW w:w="2552" w:type="dxa"/>
            <w:tcBorders>
              <w:top w:val="single" w:color="auto" w:sz="4" w:space="0"/>
              <w:left w:val="nil"/>
              <w:bottom w:val="single" w:color="auto" w:sz="4" w:space="0"/>
              <w:right w:val="single" w:color="auto" w:sz="4" w:space="0"/>
            </w:tcBorders>
            <w:shd w:val="pct10" w:color="auto" w:fill="auto"/>
            <w:vAlign w:val="center"/>
          </w:tcPr>
          <w:p>
            <w:pPr>
              <w:widowControl/>
              <w:adjustRightInd w:val="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响应时间</w:t>
            </w:r>
          </w:p>
        </w:tc>
        <w:tc>
          <w:tcPr>
            <w:tcW w:w="2039" w:type="dxa"/>
            <w:tcBorders>
              <w:top w:val="single" w:color="auto" w:sz="4" w:space="0"/>
              <w:left w:val="nil"/>
              <w:bottom w:val="single" w:color="auto" w:sz="4" w:space="0"/>
              <w:right w:val="single" w:color="auto" w:sz="4" w:space="0"/>
            </w:tcBorders>
            <w:shd w:val="pct10" w:color="auto" w:fill="auto"/>
            <w:vAlign w:val="center"/>
          </w:tcPr>
          <w:p>
            <w:pPr>
              <w:widowControl/>
              <w:adjustRightInd w:val="0"/>
              <w:ind w:left="-126" w:leftChars="-4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故障解决时间</w:t>
            </w:r>
          </w:p>
        </w:tc>
      </w:tr>
      <w:tr>
        <w:tblPrEx>
          <w:tblCellMar>
            <w:top w:w="0" w:type="dxa"/>
            <w:left w:w="108" w:type="dxa"/>
            <w:bottom w:w="0" w:type="dxa"/>
            <w:right w:w="108" w:type="dxa"/>
          </w:tblCellMar>
        </w:tblPrEx>
        <w:trPr>
          <w:trHeight w:val="707" w:hRule="atLeast"/>
          <w:jc w:val="center"/>
        </w:trPr>
        <w:tc>
          <w:tcPr>
            <w:tcW w:w="3967" w:type="dxa"/>
            <w:tcBorders>
              <w:top w:val="nil"/>
              <w:left w:val="single" w:color="auto" w:sz="4" w:space="0"/>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b/>
                <w:color w:val="auto"/>
                <w:sz w:val="24"/>
                <w:szCs w:val="24"/>
              </w:rPr>
              <w:t>I级：</w:t>
            </w:r>
            <w:r>
              <w:rPr>
                <w:rFonts w:hint="eastAsia" w:ascii="宋体" w:hAnsi="宋体" w:eastAsia="宋体" w:cs="宋体"/>
                <w:color w:val="auto"/>
                <w:sz w:val="24"/>
                <w:szCs w:val="24"/>
              </w:rPr>
              <w:t>属于紧急问题；其具体现象为：系统崩溃导致业务停止、数据丢失。</w:t>
            </w:r>
          </w:p>
        </w:tc>
        <w:tc>
          <w:tcPr>
            <w:tcW w:w="2552" w:type="dxa"/>
            <w:tcBorders>
              <w:top w:val="nil"/>
              <w:left w:val="nil"/>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30分钟，1小时内提交故障处理方案2小时内到达故障现场</w:t>
            </w:r>
          </w:p>
        </w:tc>
        <w:tc>
          <w:tcPr>
            <w:tcW w:w="2039"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4小时以内</w:t>
            </w:r>
          </w:p>
        </w:tc>
      </w:tr>
      <w:tr>
        <w:tblPrEx>
          <w:tblCellMar>
            <w:top w:w="0" w:type="dxa"/>
            <w:left w:w="108" w:type="dxa"/>
            <w:bottom w:w="0" w:type="dxa"/>
            <w:right w:w="108" w:type="dxa"/>
          </w:tblCellMar>
        </w:tblPrEx>
        <w:trPr>
          <w:trHeight w:val="942" w:hRule="atLeast"/>
          <w:jc w:val="center"/>
        </w:trPr>
        <w:tc>
          <w:tcPr>
            <w:tcW w:w="3967" w:type="dxa"/>
            <w:tcBorders>
              <w:top w:val="nil"/>
              <w:left w:val="single" w:color="auto" w:sz="4" w:space="0"/>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b/>
                <w:color w:val="auto"/>
                <w:sz w:val="24"/>
                <w:szCs w:val="24"/>
              </w:rPr>
              <w:t>II级：</w:t>
            </w:r>
            <w:r>
              <w:rPr>
                <w:rFonts w:hint="eastAsia" w:ascii="宋体" w:hAnsi="宋体" w:eastAsia="宋体" w:cs="宋体"/>
                <w:color w:val="auto"/>
                <w:sz w:val="24"/>
                <w:szCs w:val="24"/>
              </w:rPr>
              <w:t>属于严重问题；其具体现象为：出现区域服务失效、系统性能下降但能正常运行，影响正常业务运作效率。</w:t>
            </w:r>
          </w:p>
        </w:tc>
        <w:tc>
          <w:tcPr>
            <w:tcW w:w="2552"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30分钟，1小时内提交故障处理方案</w:t>
            </w:r>
          </w:p>
        </w:tc>
        <w:tc>
          <w:tcPr>
            <w:tcW w:w="2039"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8小时以内</w:t>
            </w:r>
          </w:p>
        </w:tc>
      </w:tr>
      <w:tr>
        <w:tblPrEx>
          <w:tblCellMar>
            <w:top w:w="0" w:type="dxa"/>
            <w:left w:w="108" w:type="dxa"/>
            <w:bottom w:w="0" w:type="dxa"/>
            <w:right w:w="108" w:type="dxa"/>
          </w:tblCellMar>
        </w:tblPrEx>
        <w:trPr>
          <w:trHeight w:val="912" w:hRule="atLeast"/>
          <w:jc w:val="center"/>
        </w:trPr>
        <w:tc>
          <w:tcPr>
            <w:tcW w:w="3967" w:type="dxa"/>
            <w:tcBorders>
              <w:top w:val="nil"/>
              <w:left w:val="single" w:color="auto" w:sz="4" w:space="0"/>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b/>
                <w:color w:val="auto"/>
                <w:sz w:val="24"/>
                <w:szCs w:val="24"/>
              </w:rPr>
              <w:t>III级：</w:t>
            </w:r>
            <w:r>
              <w:rPr>
                <w:rFonts w:hint="eastAsia" w:ascii="宋体" w:hAnsi="宋体" w:eastAsia="宋体" w:cs="宋体"/>
                <w:color w:val="auto"/>
                <w:sz w:val="24"/>
                <w:szCs w:val="24"/>
              </w:rPr>
              <w:t>属于较严重问题；其具体现象为：出现服务系统报错或警告，但业务系统能继续运行且性能不受影响。个别医院不能正常使用功能。</w:t>
            </w:r>
          </w:p>
        </w:tc>
        <w:tc>
          <w:tcPr>
            <w:tcW w:w="2552" w:type="dxa"/>
            <w:tcBorders>
              <w:top w:val="nil"/>
              <w:left w:val="nil"/>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30分钟，2小时内提交故障处理方案</w:t>
            </w:r>
          </w:p>
        </w:tc>
        <w:tc>
          <w:tcPr>
            <w:tcW w:w="2039"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12小时以内</w:t>
            </w:r>
          </w:p>
        </w:tc>
      </w:tr>
      <w:tr>
        <w:tblPrEx>
          <w:tblCellMar>
            <w:top w:w="0" w:type="dxa"/>
            <w:left w:w="108" w:type="dxa"/>
            <w:bottom w:w="0" w:type="dxa"/>
            <w:right w:w="108" w:type="dxa"/>
          </w:tblCellMar>
        </w:tblPrEx>
        <w:trPr>
          <w:trHeight w:val="302" w:hRule="atLeast"/>
          <w:jc w:val="center"/>
        </w:trPr>
        <w:tc>
          <w:tcPr>
            <w:tcW w:w="3967" w:type="dxa"/>
            <w:tcBorders>
              <w:top w:val="nil"/>
              <w:left w:val="single" w:color="auto" w:sz="4" w:space="0"/>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b/>
                <w:color w:val="auto"/>
                <w:sz w:val="24"/>
                <w:szCs w:val="24"/>
              </w:rPr>
              <w:t>I</w:t>
            </w:r>
            <w:r>
              <w:rPr>
                <w:rFonts w:hint="eastAsia" w:ascii="宋体" w:hAnsi="宋体" w:eastAsia="宋体" w:cs="宋体"/>
                <w:b/>
                <w:color w:val="auto"/>
                <w:sz w:val="24"/>
                <w:szCs w:val="24"/>
                <w:lang w:val="en-US" w:eastAsia="zh-CN"/>
              </w:rPr>
              <w:t>V</w:t>
            </w:r>
            <w:r>
              <w:rPr>
                <w:rFonts w:hint="eastAsia" w:ascii="宋体" w:hAnsi="宋体" w:eastAsia="宋体" w:cs="宋体"/>
                <w:b/>
                <w:color w:val="auto"/>
                <w:sz w:val="24"/>
                <w:szCs w:val="24"/>
              </w:rPr>
              <w:t>级：</w:t>
            </w:r>
            <w:r>
              <w:rPr>
                <w:rFonts w:hint="eastAsia" w:ascii="宋体" w:hAnsi="宋体" w:eastAsia="宋体" w:cs="宋体"/>
                <w:color w:val="auto"/>
                <w:sz w:val="24"/>
                <w:szCs w:val="24"/>
              </w:rPr>
              <w:t>属于普通问题；其具体现象为：系统技术功能、安装或配置咨询，个别功能应用不能正常使用。</w:t>
            </w:r>
          </w:p>
        </w:tc>
        <w:tc>
          <w:tcPr>
            <w:tcW w:w="2552" w:type="dxa"/>
            <w:tcBorders>
              <w:top w:val="nil"/>
              <w:left w:val="nil"/>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30分钟，2小时内提交故障处理方案</w:t>
            </w:r>
          </w:p>
        </w:tc>
        <w:tc>
          <w:tcPr>
            <w:tcW w:w="2039"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48小时以内</w:t>
            </w:r>
          </w:p>
        </w:tc>
      </w:tr>
    </w:tbl>
    <w:p>
      <w:pPr>
        <w:jc w:val="left"/>
        <w:rPr>
          <w:rFonts w:ascii="仿宋" w:hAnsi="仿宋" w:eastAsia="仿宋"/>
          <w:color w:val="auto"/>
          <w:szCs w:val="28"/>
        </w:rPr>
      </w:pP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rPr>
        <w:t>四、维保安排</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（1）每月不少于</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次公司技术人员现场巡视或远程巡视并做好记录并提交记录报告；</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（2）三个月不少于提交一次整体维护运行维护报告；</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（3）6个月内做一次应急演练；</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（4）每季度都要对医疗工作人员培训一次，每次培训时间不少于3个小时；</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）功能应用升级、修改应作好培训及指导；</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（6）公司必须指定2个以上技术人员电话7*24小时开机进行技术解答</w:t>
      </w:r>
      <w:r>
        <w:rPr>
          <w:rFonts w:hint="eastAsia" w:ascii="宋体" w:hAnsi="宋体" w:cs="宋体"/>
          <w:color w:val="auto"/>
          <w:sz w:val="24"/>
          <w:szCs w:val="24"/>
          <w:lang w:eastAsia="zh-CN"/>
        </w:rPr>
        <w:t>。</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rPr>
        <w:t>五、功能升级</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■应用功能升级技术功能参数与技术要求功能参数一致，性能指标达到规定的标准；</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■在维保程序升级后运行期间所出现的问题得到解决，并运行正常；</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■在规定时间内完成维保程序升级并验收，并经采购人确认；</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■提供完备的维保功能升级技术升级资料、软件升级配置手册、培训报告等程序文件；</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lang w:eastAsia="zh-CN"/>
        </w:rPr>
      </w:pPr>
      <w:bookmarkStart w:id="31" w:name="_Toc441065665"/>
      <w:r>
        <w:rPr>
          <w:rFonts w:hint="eastAsia" w:ascii="宋体" w:hAnsi="宋体"/>
          <w:color w:val="auto"/>
          <w:sz w:val="28"/>
          <w:szCs w:val="28"/>
        </w:rPr>
        <w:t>六、</w:t>
      </w:r>
      <w:r>
        <w:rPr>
          <w:rFonts w:hint="eastAsia" w:ascii="宋体" w:hAnsi="宋体"/>
          <w:color w:val="auto"/>
          <w:sz w:val="28"/>
          <w:szCs w:val="28"/>
          <w:lang w:eastAsia="zh-CN"/>
        </w:rPr>
        <w:t>结算与</w:t>
      </w:r>
      <w:r>
        <w:rPr>
          <w:rFonts w:hint="eastAsia" w:ascii="宋体" w:hAnsi="宋体"/>
          <w:color w:val="auto"/>
          <w:sz w:val="28"/>
          <w:szCs w:val="28"/>
        </w:rPr>
        <w:t>付款</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计费标准：本系统维护费由北碚区域影像中心会诊费中支出，具体由重庆市第九人民医院、北碚区卫健委及其下属医疗机构共同确定本</w:t>
      </w:r>
      <w:bookmarkStart w:id="78" w:name="_GoBack"/>
      <w:bookmarkEnd w:id="78"/>
      <w:r>
        <w:rPr>
          <w:rFonts w:hint="eastAsia" w:ascii="宋体" w:hAnsi="宋体"/>
          <w:sz w:val="24"/>
          <w:szCs w:val="24"/>
          <w:lang w:val="en-US" w:eastAsia="zh-CN"/>
        </w:rPr>
        <w:t>系统维护费的计费标准和方式。</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付款方式：重庆市第九人民医院按前述计费标准每季度按实结算并付款一次。</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lang w:eastAsia="zh-CN"/>
        </w:rPr>
        <w:t>七</w:t>
      </w:r>
      <w:r>
        <w:rPr>
          <w:rFonts w:hint="eastAsia" w:ascii="宋体" w:hAnsi="宋体"/>
          <w:color w:val="auto"/>
          <w:sz w:val="28"/>
          <w:szCs w:val="28"/>
        </w:rPr>
        <w:t>、知识产权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采购人在中华人民共和国境内使用成交供应商提供服务时免受第三方提出的侵犯其专利权或其它知识产权的起诉。如果第三方提出侵权指控，成交供应商应承担由此而引起的一切法律责任和费用。</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lang w:eastAsia="zh-CN"/>
        </w:rPr>
        <w:t>八</w:t>
      </w:r>
      <w:r>
        <w:rPr>
          <w:rFonts w:hint="eastAsia" w:ascii="宋体" w:hAnsi="宋体"/>
          <w:color w:val="auto"/>
          <w:sz w:val="28"/>
          <w:szCs w:val="28"/>
        </w:rPr>
        <w:t>、使用培训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根据采购人情况，及时对使用操作医生新技术、新功能、业务操作或特殊情况进行分阶段培训，充分满足使用需要。提供多种服务方式提高培训质量。</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rPr>
        <w:t>九、其他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1.供应商必须在响应文件中对以上条款和服务承诺明确列出，承诺内容必须达到本篇及比选文件其他条款的要求。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2.其他未尽事宜由供需双方在采购合同中详细约定。</w:t>
      </w:r>
    </w:p>
    <w:p>
      <w:pPr>
        <w:ind w:firstLine="480" w:firstLineChars="200"/>
        <w:rPr>
          <w:rFonts w:ascii="宋体" w:hAnsi="宋体"/>
          <w:sz w:val="24"/>
          <w:szCs w:val="28"/>
        </w:rPr>
      </w:pPr>
      <w:r>
        <w:rPr>
          <w:rFonts w:hint="eastAsia" w:ascii="宋体" w:hAnsi="宋体"/>
          <w:sz w:val="24"/>
          <w:szCs w:val="28"/>
        </w:rPr>
        <w:t xml:space="preserve"> </w:t>
      </w:r>
      <w:bookmarkEnd w:id="31"/>
    </w:p>
    <w:p>
      <w:pPr>
        <w:rPr>
          <w:rFonts w:ascii="宋体" w:hAnsi="宋体" w:cs="宋体"/>
          <w:kern w:val="0"/>
        </w:rPr>
      </w:pPr>
      <w:r>
        <w:rPr>
          <w:rFonts w:ascii="宋体" w:hAnsi="宋体"/>
        </w:rPr>
        <w:br w:type="page"/>
      </w:r>
    </w:p>
    <w:p>
      <w:pPr>
        <w:pStyle w:val="2"/>
        <w:keepNext/>
        <w:keepLines w:val="0"/>
        <w:pageBreakBefore w:val="0"/>
        <w:widowControl w:val="0"/>
        <w:numPr>
          <w:ilvl w:val="0"/>
          <w:numId w:val="16"/>
        </w:numPr>
        <w:kinsoku/>
        <w:wordWrap/>
        <w:overflowPunct/>
        <w:topLinePunct w:val="0"/>
        <w:autoSpaceDE/>
        <w:autoSpaceDN/>
        <w:bidi w:val="0"/>
        <w:adjustRightInd/>
        <w:snapToGrid w:val="0"/>
        <w:spacing w:before="381" w:beforeLines="100" w:after="381" w:afterLines="100" w:line="360" w:lineRule="auto"/>
        <w:ind w:left="1531" w:hanging="1531"/>
        <w:textAlignment w:val="auto"/>
        <w:rPr>
          <w:rFonts w:hint="eastAsia" w:ascii="宋体" w:hAnsi="宋体" w:eastAsia="宋体"/>
          <w:lang w:val="en-US" w:eastAsia="zh-CN"/>
        </w:rPr>
      </w:pPr>
      <w:r>
        <w:rPr>
          <w:rFonts w:hint="eastAsia" w:ascii="宋体" w:hAnsi="宋体" w:eastAsia="宋体"/>
          <w:lang w:val="en-US" w:eastAsia="zh-CN"/>
        </w:rPr>
        <w:t xml:space="preserve"> </w:t>
      </w:r>
      <w:bookmarkStart w:id="32" w:name="_Toc24122"/>
      <w:r>
        <w:rPr>
          <w:rFonts w:hint="eastAsia" w:ascii="宋体" w:hAnsi="宋体" w:eastAsia="宋体"/>
          <w:lang w:val="en-US" w:eastAsia="zh-CN"/>
        </w:rPr>
        <w:t>评审程序、评审方法和评审标准</w:t>
      </w:r>
      <w:bookmarkEnd w:id="32"/>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b/>
          <w:sz w:val="28"/>
          <w:szCs w:val="28"/>
        </w:rPr>
      </w:pPr>
      <w:bookmarkStart w:id="33" w:name="_Toc441065674"/>
      <w:bookmarkStart w:id="34" w:name="_Toc8495"/>
      <w:r>
        <w:rPr>
          <w:rFonts w:hint="eastAsia"/>
          <w:b/>
          <w:sz w:val="28"/>
          <w:szCs w:val="28"/>
        </w:rPr>
        <w:t>一、</w:t>
      </w:r>
      <w:bookmarkEnd w:id="33"/>
      <w:r>
        <w:rPr>
          <w:rFonts w:hint="eastAsia"/>
          <w:b/>
          <w:sz w:val="28"/>
          <w:szCs w:val="28"/>
        </w:rPr>
        <w:t>评审程序</w:t>
      </w:r>
      <w:bookmarkEnd w:id="34"/>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评审工作由采购人主持，具体评审工作由采购人依法组建的竞争性比选小组负责。比选小组到位后，推举其中一位评审专家担任评审组长，并由评审组长牵头组织该项目评审工作。比选小组按以下程序独立履行评审职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1、资格性检查。依据法律法规和比选文件的规定，对响应文件中的供应商营业执照、组织机构代码证、税务登记证（见注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）、诚信声明、特定资格条件证明文件、供应商法定代表人身份证明书和授权代表委托书身份证明等进行审查，以确定供应商是否具备竞争性比选资格。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以联合体参与比选的，共同参与协议中应确定主办方（主体），</w:t>
      </w:r>
      <w:r>
        <w:rPr>
          <w:rFonts w:hint="eastAsia" w:ascii="宋体" w:hAnsi="宋体"/>
          <w:sz w:val="24"/>
        </w:rPr>
        <w:t>代表联合体进行比选和澄清。</w:t>
      </w:r>
      <w:r>
        <w:rPr>
          <w:rFonts w:hint="eastAsia" w:ascii="宋体" w:hAnsi="宋体" w:cs="宋体"/>
          <w:kern w:val="0"/>
          <w:sz w:val="24"/>
          <w:szCs w:val="24"/>
        </w:rPr>
        <w:t>联合体各方均应满足供应商资格要求（详见“第一篇”）。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供应商按“多证合一”登记制度办理营业执照的，组织机构代码证、税务登记证（副本）和社会保险登记证以投标人所提供的营业执照（副本）复印件为准。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2、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cs="宋体"/>
          <w:kern w:val="0"/>
          <w:sz w:val="24"/>
          <w:szCs w:val="24"/>
        </w:rPr>
        <w:t>3、符合性检查。依据比选文件的规定，从响应文件的有效性、完整性和对比选文件的响应程度进行审查，以确定是否对比选文件的实质性要求作出响应。</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cs="方正仿宋_GBK"/>
          <w:sz w:val="24"/>
          <w:szCs w:val="24"/>
        </w:rPr>
        <w:t>4、对响应文件的有效性、完整性和响应程度进行审查结束后。竞争性比选小组所有成员按签到顺序集中与单一供应商分别进行比选。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5、澄清有关问题。对响应文件中含义不明确、同类问题表述不一致或者有明显文字和计算错误的内容，比选小组可以书面形式（应当由比选小组成员签字）要求供应商作出必要澄清、说明或者纠正。供应商的澄清、说明或者补正应当采用书面形式，由其法定代表人授权代表签字，其澄清的内容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方正仿宋_GBK"/>
          <w:sz w:val="24"/>
          <w:szCs w:val="24"/>
        </w:rPr>
      </w:pPr>
      <w:r>
        <w:rPr>
          <w:rFonts w:hint="eastAsia" w:ascii="宋体" w:hAnsi="宋体" w:cs="方正仿宋_GBK"/>
          <w:sz w:val="24"/>
          <w:szCs w:val="24"/>
        </w:rPr>
        <w:t>6、在比选过程中，竞争性比选小组可以根据比选文件和比选情况实质性变动采购需求中的技术、服务要求以及合同草案条款，但不得变动比选文件中的其他内容。实质性变动的内容，须经采购人代表确认。</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方正仿宋_GBK"/>
          <w:b/>
          <w:bCs/>
          <w:sz w:val="24"/>
          <w:szCs w:val="24"/>
        </w:rPr>
      </w:pPr>
      <w:r>
        <w:rPr>
          <w:rFonts w:hint="eastAsia" w:ascii="宋体" w:hAnsi="宋体" w:cs="方正仿宋_GBK"/>
          <w:sz w:val="24"/>
          <w:szCs w:val="24"/>
        </w:rPr>
        <w:t>实质性变动的内容作为比选文件的有效组成部分，比选小组应当及时以书面形式同时通知所有参加谈判比选的供应商。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方正仿宋_GBK"/>
          <w:sz w:val="24"/>
          <w:szCs w:val="24"/>
        </w:rPr>
      </w:pPr>
      <w:r>
        <w:rPr>
          <w:rFonts w:hint="eastAsia" w:ascii="宋体" w:hAnsi="宋体" w:cs="方正仿宋_GBK"/>
          <w:sz w:val="24"/>
          <w:szCs w:val="24"/>
        </w:rPr>
        <w:t>7、供应商应当按照比选文件的变动情况和比选小组的要求作出相应的承诺，并由其法定代表人或授权代表签字或者加盖公章。若供应商需重新制定设计方案或解决方案，重新提交响应文件的，比选小组应确定重新提交响应文件的时间和提交方式，并以书面的形式通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方正仿宋_GBK"/>
          <w:sz w:val="24"/>
          <w:szCs w:val="24"/>
          <w:lang w:eastAsia="zh-CN"/>
        </w:rPr>
      </w:pPr>
      <w:r>
        <w:rPr>
          <w:rFonts w:hint="eastAsia" w:ascii="宋体" w:hAnsi="宋体" w:cs="方正仿宋_GBK"/>
          <w:sz w:val="24"/>
          <w:szCs w:val="24"/>
        </w:rPr>
        <w:t>8、最后</w:t>
      </w:r>
      <w:r>
        <w:rPr>
          <w:rFonts w:hint="eastAsia" w:ascii="宋体" w:hAnsi="宋体" w:cs="方正仿宋_GBK"/>
          <w:sz w:val="24"/>
          <w:szCs w:val="24"/>
          <w:lang w:eastAsia="zh-CN"/>
        </w:rPr>
        <w:t>比选</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方正仿宋_GBK"/>
          <w:b/>
          <w:bCs/>
          <w:sz w:val="24"/>
          <w:szCs w:val="24"/>
          <w:u w:val="single"/>
        </w:rPr>
      </w:pPr>
      <w:r>
        <w:rPr>
          <w:rFonts w:hint="eastAsia" w:ascii="宋体" w:hAnsi="宋体" w:cs="方正仿宋_GBK"/>
          <w:b/>
          <w:bCs/>
          <w:sz w:val="24"/>
          <w:szCs w:val="24"/>
          <w:u w:val="single"/>
        </w:rPr>
        <w:t>能够详细列明采购标的的技术、服务要求的：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方正仿宋_GBK"/>
          <w:sz w:val="24"/>
          <w:szCs w:val="24"/>
        </w:rPr>
      </w:pPr>
      <w:r>
        <w:rPr>
          <w:rFonts w:hint="eastAsia" w:ascii="宋体" w:hAnsi="宋体" w:cs="方正仿宋_GBK"/>
          <w:sz w:val="24"/>
          <w:szCs w:val="24"/>
        </w:rPr>
        <w:t>比选结束后，比选小组应当要求所有实质性响应的供应商在规定时间内提交最后报价，最后报价是供应商响应文件的有效组成部分。填写最后报价由其法定代表人或授权代表签字或者加盖公章。最后报价是供应商响应文件有效组成部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方正仿宋_GBK"/>
          <w:b/>
          <w:bCs/>
          <w:sz w:val="24"/>
          <w:szCs w:val="24"/>
          <w:u w:val="single"/>
        </w:rPr>
      </w:pPr>
      <w:r>
        <w:rPr>
          <w:rFonts w:hint="eastAsia" w:ascii="宋体" w:hAnsi="宋体" w:cs="方正仿宋_GBK"/>
          <w:b/>
          <w:bCs/>
          <w:sz w:val="24"/>
          <w:szCs w:val="24"/>
          <w:u w:val="single"/>
        </w:rPr>
        <w:t>不能够详细列明采购标的的技术、服务要求的，需经比选由供应商提供最终设计方案或解决方案的：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cs="方正仿宋_GBK"/>
          <w:sz w:val="24"/>
          <w:szCs w:val="24"/>
        </w:rPr>
        <w:t>比选小组应当按照少数服从多数的</w:t>
      </w:r>
      <w:r>
        <w:rPr>
          <w:rFonts w:hint="eastAsia" w:ascii="宋体" w:hAnsi="宋体" w:cs="方正仿宋_GBK"/>
          <w:color w:val="000000" w:themeColor="text1"/>
          <w:sz w:val="24"/>
          <w:szCs w:val="24"/>
          <w:highlight w:val="none"/>
          <w14:textFill>
            <w14:solidFill>
              <w14:schemeClr w14:val="tx1"/>
            </w14:solidFill>
          </w14:textFill>
        </w:rPr>
        <w:t>原则投票推荐3家</w:t>
      </w:r>
      <w:r>
        <w:rPr>
          <w:rFonts w:hint="eastAsia" w:ascii="宋体" w:hAnsi="宋体" w:cs="方正仿宋_GBK"/>
          <w:color w:val="000000" w:themeColor="text1"/>
          <w:sz w:val="24"/>
          <w:szCs w:val="24"/>
          <w:highlight w:val="none"/>
          <w:lang w:val="en-US" w:eastAsia="zh-CN"/>
          <w14:textFill>
            <w14:solidFill>
              <w14:schemeClr w14:val="tx1"/>
            </w14:solidFill>
          </w14:textFill>
        </w:rPr>
        <w:t>及</w:t>
      </w:r>
      <w:r>
        <w:rPr>
          <w:rFonts w:hint="eastAsia" w:ascii="宋体" w:hAnsi="宋体" w:cs="方正仿宋_GBK"/>
          <w:color w:val="000000" w:themeColor="text1"/>
          <w:sz w:val="24"/>
          <w:szCs w:val="24"/>
          <w:highlight w:val="none"/>
          <w14:textFill>
            <w14:solidFill>
              <w14:schemeClr w14:val="tx1"/>
            </w14:solidFill>
          </w14:textFill>
        </w:rPr>
        <w:t>以上供应</w:t>
      </w:r>
      <w:r>
        <w:rPr>
          <w:rFonts w:hint="eastAsia" w:ascii="宋体" w:hAnsi="宋体" w:cs="方正仿宋_GBK"/>
          <w:sz w:val="24"/>
          <w:szCs w:val="24"/>
        </w:rPr>
        <w:t>商的</w:t>
      </w:r>
      <w:r>
        <w:rPr>
          <w:rFonts w:hint="eastAsia" w:ascii="宋体" w:hAnsi="宋体" w:cs="方正仿宋_GBK"/>
          <w:sz w:val="24"/>
          <w:szCs w:val="24"/>
          <w:lang w:val="en-US" w:eastAsia="zh-CN"/>
        </w:rPr>
        <w:t>维保</w:t>
      </w:r>
      <w:r>
        <w:rPr>
          <w:rFonts w:hint="eastAsia" w:ascii="宋体" w:hAnsi="宋体" w:cs="方正仿宋_GBK"/>
          <w:sz w:val="24"/>
          <w:szCs w:val="24"/>
        </w:rPr>
        <w:t>方案和解决方案。</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b/>
          <w:sz w:val="28"/>
          <w:szCs w:val="28"/>
        </w:rPr>
      </w:pPr>
      <w:bookmarkStart w:id="35" w:name="_Toc1846"/>
      <w:r>
        <w:rPr>
          <w:rFonts w:hint="eastAsia"/>
          <w:b/>
          <w:sz w:val="28"/>
          <w:szCs w:val="28"/>
        </w:rPr>
        <w:t>二、评审方法</w:t>
      </w:r>
      <w:bookmarkEnd w:id="3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1、本项目采用综合评分法进行评分。综合评分法，是指响应文件满足比选文件全部实质性要求且按照评审因素的量化指标评审得分最高的为成交候选供应商的评审方法。供应商总得分为价格、商务、技术等评定因素分别按照相应权重值计算分项得分后相加，满分为100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2、比选小组各成员独立对每个有效供应商的响应文件进行评价、打分，然后由组长组织比选小组对各成员打分情况进行核查及复核，个别成员对同一供应商同一评分项的打分偏离较大的，应对供应商的响应文件进行再次核对，确属打分有误的，应及时进行修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复核后，比选小组汇总每个供应商每项评分因素的得分。</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left="22" w:leftChars="0" w:firstLine="480" w:firstLineChars="0"/>
        <w:textAlignment w:val="auto"/>
        <w:rPr>
          <w:rFonts w:hint="eastAsia" w:ascii="宋体" w:hAnsi="宋体"/>
          <w:sz w:val="24"/>
          <w:szCs w:val="24"/>
        </w:rPr>
      </w:pPr>
      <w:r>
        <w:rPr>
          <w:rFonts w:hint="eastAsia" w:ascii="宋体" w:hAnsi="宋体"/>
          <w:sz w:val="24"/>
          <w:szCs w:val="24"/>
        </w:rPr>
        <w:t>推荐成交候选供应商名单。按评审后得分由高到低的排列顺序</w:t>
      </w:r>
      <w:r>
        <w:rPr>
          <w:rFonts w:hint="eastAsia" w:ascii="宋体" w:hAnsi="宋体" w:cs="宋体"/>
          <w:kern w:val="0"/>
          <w:sz w:val="24"/>
          <w:szCs w:val="24"/>
        </w:rPr>
        <w:t>推荐综合得分排名前三的供应商为本分包（项目）成交候选供应商，</w:t>
      </w:r>
      <w:r>
        <w:rPr>
          <w:rFonts w:hint="eastAsia" w:ascii="宋体" w:hAnsi="宋体"/>
          <w:sz w:val="24"/>
          <w:szCs w:val="24"/>
        </w:rPr>
        <w:t>排名第一的为第一成交候选供应商。若综合得分相同的，按最后报价由低到高顺序排列；若综合得分且最后报价相同的，按技术指标优劣顺序排列；若综合得分、最后报价、技术指标均相同的，按商务部分的优劣顺序排列。技术部分得分为0分的供应商，将失去成为成交候选供应商的资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02" w:leftChars="0"/>
        <w:textAlignment w:val="auto"/>
        <w:rPr>
          <w:rFonts w:hint="eastAsia" w:ascii="宋体" w:hAnsi="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02" w:leftChars="0"/>
        <w:textAlignment w:val="auto"/>
        <w:rPr>
          <w:rFonts w:hint="eastAsia" w:ascii="宋体" w:hAnsi="宋体"/>
          <w:sz w:val="24"/>
          <w:szCs w:val="24"/>
        </w:rPr>
      </w:pP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color w:val="auto"/>
          <w:sz w:val="28"/>
          <w:szCs w:val="28"/>
          <w:lang w:val="en-US" w:eastAsia="zh-CN"/>
        </w:rPr>
      </w:pPr>
      <w:bookmarkStart w:id="36" w:name="_Toc30046"/>
      <w:bookmarkStart w:id="37" w:name="_Toc441065675"/>
      <w:bookmarkStart w:id="38" w:name="_Toc267320057"/>
      <w:r>
        <w:rPr>
          <w:rFonts w:hint="eastAsia"/>
          <w:b/>
          <w:sz w:val="28"/>
          <w:szCs w:val="28"/>
          <w:lang w:val="en-US" w:eastAsia="zh-CN"/>
        </w:rPr>
        <w:t>三</w:t>
      </w:r>
      <w:r>
        <w:rPr>
          <w:rFonts w:hint="eastAsia"/>
          <w:b/>
          <w:sz w:val="28"/>
          <w:szCs w:val="28"/>
        </w:rPr>
        <w:t>、评</w:t>
      </w:r>
      <w:r>
        <w:rPr>
          <w:rFonts w:hint="eastAsia"/>
          <w:b/>
          <w:color w:val="auto"/>
          <w:sz w:val="28"/>
          <w:szCs w:val="28"/>
        </w:rPr>
        <w:t>审</w:t>
      </w:r>
      <w:r>
        <w:rPr>
          <w:rFonts w:hint="eastAsia"/>
          <w:b/>
          <w:color w:val="auto"/>
          <w:sz w:val="28"/>
          <w:szCs w:val="28"/>
          <w:lang w:val="en-US" w:eastAsia="zh-CN"/>
        </w:rPr>
        <w:t>标准</w:t>
      </w:r>
      <w:bookmarkEnd w:id="36"/>
    </w:p>
    <w:bookmarkEnd w:id="37"/>
    <w:bookmarkEnd w:id="38"/>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bookmarkStart w:id="39" w:name="_Toc441065676"/>
    </w:p>
    <w:tbl>
      <w:tblPr>
        <w:tblStyle w:val="5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01"/>
        <w:gridCol w:w="5"/>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169" w:type="dxa"/>
            <w:gridSpan w:val="3"/>
            <w:vAlign w:val="center"/>
          </w:tcPr>
          <w:p>
            <w:pPr>
              <w:widowControl/>
              <w:jc w:val="center"/>
              <w:rPr>
                <w:rFonts w:hint="eastAsia" w:ascii="微软雅黑" w:hAnsi="微软雅黑" w:eastAsia="微软雅黑" w:cs="微软雅黑"/>
                <w:b/>
                <w:bCs/>
                <w:color w:val="auto"/>
                <w:kern w:val="0"/>
                <w:sz w:val="21"/>
                <w:szCs w:val="21"/>
              </w:rPr>
            </w:pPr>
            <w:r>
              <w:rPr>
                <w:rFonts w:hint="eastAsia" w:ascii="微软雅黑" w:hAnsi="微软雅黑" w:eastAsia="微软雅黑" w:cs="微软雅黑"/>
                <w:b/>
                <w:bCs/>
                <w:color w:val="auto"/>
                <w:kern w:val="0"/>
                <w:sz w:val="21"/>
                <w:szCs w:val="21"/>
              </w:rPr>
              <w:t>评分项及权重</w:t>
            </w:r>
          </w:p>
        </w:tc>
        <w:tc>
          <w:tcPr>
            <w:tcW w:w="7029" w:type="dxa"/>
            <w:vAlign w:val="center"/>
          </w:tcPr>
          <w:p>
            <w:pPr>
              <w:widowControl/>
              <w:jc w:val="center"/>
              <w:rPr>
                <w:rFonts w:hint="eastAsia" w:ascii="微软雅黑" w:hAnsi="微软雅黑" w:eastAsia="微软雅黑" w:cs="微软雅黑"/>
                <w:b/>
                <w:bCs/>
                <w:color w:val="auto"/>
                <w:kern w:val="0"/>
                <w:sz w:val="21"/>
                <w:szCs w:val="21"/>
              </w:rPr>
            </w:pPr>
            <w:r>
              <w:rPr>
                <w:rFonts w:hint="eastAsia" w:ascii="微软雅黑" w:hAnsi="微软雅黑" w:eastAsia="微软雅黑" w:cs="微软雅黑"/>
                <w:b/>
                <w:bCs/>
                <w:color w:val="auto"/>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63" w:type="dxa"/>
            <w:vMerge w:val="restart"/>
            <w:vAlign w:val="center"/>
          </w:tcPr>
          <w:p>
            <w:pPr>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商务</w:t>
            </w:r>
          </w:p>
          <w:p>
            <w:pPr>
              <w:jc w:val="center"/>
              <w:rPr>
                <w:rFonts w:hint="eastAsia" w:ascii="微软雅黑" w:hAnsi="微软雅黑" w:eastAsia="微软雅黑" w:cs="微软雅黑"/>
                <w:b/>
                <w:bCs/>
                <w:color w:val="auto"/>
                <w:szCs w:val="28"/>
              </w:rPr>
            </w:pPr>
            <w:r>
              <w:rPr>
                <w:rFonts w:hint="eastAsia" w:ascii="微软雅黑" w:hAnsi="微软雅黑" w:eastAsia="微软雅黑" w:cs="微软雅黑"/>
                <w:b/>
                <w:bCs/>
                <w:color w:val="auto"/>
                <w:sz w:val="21"/>
                <w:szCs w:val="21"/>
              </w:rPr>
              <w:t>部分</w:t>
            </w:r>
            <w:r>
              <w:rPr>
                <w:rFonts w:hint="eastAsia" w:ascii="微软雅黑" w:hAnsi="微软雅黑" w:eastAsia="微软雅黑" w:cs="微软雅黑"/>
                <w:b/>
                <w:bCs/>
                <w:color w:val="auto"/>
                <w:szCs w:val="28"/>
                <w:lang w:val="en-US" w:eastAsia="zh-CN"/>
              </w:rPr>
              <w:t>37</w:t>
            </w:r>
            <w:r>
              <w:rPr>
                <w:rFonts w:hint="eastAsia" w:ascii="微软雅黑" w:hAnsi="微软雅黑" w:eastAsia="微软雅黑" w:cs="微软雅黑"/>
                <w:b/>
                <w:bCs/>
                <w:color w:val="auto"/>
                <w:szCs w:val="28"/>
              </w:rPr>
              <w:t>%</w:t>
            </w:r>
          </w:p>
        </w:tc>
        <w:tc>
          <w:tcPr>
            <w:tcW w:w="1201" w:type="dxa"/>
            <w:vAlign w:val="center"/>
          </w:tcPr>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履约能力</w:t>
            </w:r>
          </w:p>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p>
        </w:tc>
        <w:tc>
          <w:tcPr>
            <w:tcW w:w="7034" w:type="dxa"/>
            <w:gridSpan w:val="2"/>
            <w:vAlign w:val="center"/>
          </w:tcPr>
          <w:p>
            <w:pPr>
              <w:keepNext w:val="0"/>
              <w:keepLines w:val="0"/>
              <w:pageBreakBefore w:val="0"/>
              <w:kinsoku/>
              <w:wordWrap/>
              <w:overflowPunct/>
              <w:topLinePunct w:val="0"/>
              <w:autoSpaceDE/>
              <w:autoSpaceDN/>
              <w:bidi w:val="0"/>
              <w:adjustRightInd/>
              <w:snapToGrid/>
              <w:spacing w:line="0" w:lineRule="atLeast"/>
              <w:ind w:left="0" w:leftChars="0"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以投标文件中加盖投标人鲜章的相关证明文件为准（其余没单独作此要求的项目，均按此项方式提供证明）： </w:t>
            </w:r>
          </w:p>
          <w:p>
            <w:pPr>
              <w:keepNext w:val="0"/>
              <w:keepLines w:val="0"/>
              <w:pageBreakBefore w:val="0"/>
              <w:widowControl/>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投标人</w:t>
            </w:r>
            <w:r>
              <w:rPr>
                <w:rFonts w:hint="eastAsia" w:ascii="微软雅黑" w:hAnsi="微软雅黑" w:eastAsia="微软雅黑" w:cs="微软雅黑"/>
                <w:color w:val="auto"/>
                <w:sz w:val="21"/>
                <w:szCs w:val="21"/>
                <w:lang w:val="en-US" w:eastAsia="zh-CN"/>
              </w:rPr>
              <w:t>是省级及以上行政管理部门颁发的科技技</w:t>
            </w:r>
            <w:r>
              <w:rPr>
                <w:rFonts w:hint="eastAsia" w:ascii="微软雅黑" w:hAnsi="微软雅黑" w:eastAsia="微软雅黑" w:cs="微软雅黑"/>
                <w:color w:val="auto"/>
                <w:sz w:val="21"/>
                <w:szCs w:val="21"/>
              </w:rPr>
              <w:t>术</w:t>
            </w:r>
            <w:r>
              <w:rPr>
                <w:rFonts w:hint="eastAsia" w:ascii="微软雅黑" w:hAnsi="微软雅黑" w:eastAsia="微软雅黑" w:cs="微软雅黑"/>
                <w:color w:val="auto"/>
                <w:sz w:val="21"/>
                <w:szCs w:val="21"/>
                <w:lang w:val="en-US" w:eastAsia="zh-CN"/>
              </w:rPr>
              <w:t>或高新技术</w:t>
            </w:r>
            <w:r>
              <w:rPr>
                <w:rFonts w:hint="eastAsia" w:ascii="微软雅黑" w:hAnsi="微软雅黑" w:eastAsia="微软雅黑" w:cs="微软雅黑"/>
                <w:color w:val="auto"/>
                <w:sz w:val="21"/>
                <w:szCs w:val="21"/>
              </w:rPr>
              <w:t>企业得</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r>
              <w:rPr>
                <w:rFonts w:hint="eastAsia" w:ascii="微软雅黑" w:hAnsi="微软雅黑" w:eastAsia="微软雅黑" w:cs="微软雅黑"/>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3" w:type="dxa"/>
            <w:vMerge w:val="continue"/>
            <w:vAlign w:val="center"/>
          </w:tcPr>
          <w:p>
            <w:pPr>
              <w:jc w:val="center"/>
              <w:rPr>
                <w:rFonts w:hint="eastAsia" w:ascii="微软雅黑" w:hAnsi="微软雅黑" w:eastAsia="微软雅黑" w:cs="微软雅黑"/>
                <w:color w:val="auto"/>
                <w:sz w:val="21"/>
                <w:szCs w:val="21"/>
              </w:rPr>
            </w:pPr>
          </w:p>
        </w:tc>
        <w:tc>
          <w:tcPr>
            <w:tcW w:w="1201" w:type="dxa"/>
            <w:vAlign w:val="center"/>
          </w:tcPr>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维保服</w:t>
            </w:r>
          </w:p>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务能力</w:t>
            </w:r>
          </w:p>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p>
        </w:tc>
        <w:tc>
          <w:tcPr>
            <w:tcW w:w="7034" w:type="dxa"/>
            <w:gridSpan w:val="2"/>
            <w:vAlign w:val="center"/>
          </w:tcPr>
          <w:p>
            <w:pPr>
              <w:keepNext w:val="0"/>
              <w:keepLines w:val="0"/>
              <w:pageBreakBefore w:val="0"/>
              <w:kinsoku/>
              <w:wordWrap/>
              <w:overflowPunct/>
              <w:topLinePunct w:val="0"/>
              <w:autoSpaceDE/>
              <w:autoSpaceDN/>
              <w:bidi w:val="0"/>
              <w:adjustRightInd/>
              <w:snapToGrid/>
              <w:spacing w:line="0" w:lineRule="atLeas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投标人有本地售后服务机构的得2分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没有的不得分。</w:t>
            </w:r>
          </w:p>
          <w:p>
            <w:pPr>
              <w:keepNext w:val="0"/>
              <w:keepLines w:val="0"/>
              <w:pageBreakBefore w:val="0"/>
              <w:kinsoku/>
              <w:wordWrap/>
              <w:overflowPunct/>
              <w:topLinePunct w:val="0"/>
              <w:autoSpaceDE/>
              <w:autoSpaceDN/>
              <w:bidi w:val="0"/>
              <w:adjustRightInd/>
              <w:snapToGrid/>
              <w:spacing w:line="0" w:lineRule="atLeas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投标人为本项目提供的本地售后服务人员不少于2人，得</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分</w:t>
            </w:r>
            <w:r>
              <w:rPr>
                <w:rFonts w:hint="eastAsia" w:ascii="微软雅黑" w:hAnsi="微软雅黑" w:eastAsia="微软雅黑" w:cs="微软雅黑"/>
                <w:color w:val="auto"/>
                <w:sz w:val="21"/>
                <w:szCs w:val="21"/>
                <w:lang w:eastAsia="zh-CN"/>
              </w:rPr>
              <w:t>，否则不得分</w:t>
            </w:r>
            <w:r>
              <w:rPr>
                <w:rFonts w:hint="eastAsia" w:ascii="微软雅黑" w:hAnsi="微软雅黑" w:eastAsia="微软雅黑" w:cs="微软雅黑"/>
                <w:color w:val="auto"/>
                <w:sz w:val="21"/>
                <w:szCs w:val="21"/>
              </w:rPr>
              <w:t>。</w:t>
            </w:r>
          </w:p>
          <w:p>
            <w:pPr>
              <w:keepNext w:val="0"/>
              <w:keepLines w:val="0"/>
              <w:pageBreakBefore w:val="0"/>
              <w:kinsoku/>
              <w:wordWrap/>
              <w:overflowPunct/>
              <w:topLinePunct w:val="0"/>
              <w:autoSpaceDE/>
              <w:autoSpaceDN/>
              <w:bidi w:val="0"/>
              <w:adjustRightInd/>
              <w:snapToGrid/>
              <w:spacing w:line="0" w:lineRule="atLeast"/>
              <w:ind w:left="0" w:leftChars="0" w:firstLine="420" w:firstLineChars="200"/>
              <w:textAlignment w:val="auto"/>
              <w:rPr>
                <w:rFonts w:hint="eastAsia" w:eastAsia="微软雅黑"/>
                <w:lang w:val="en-US" w:eastAsia="zh-CN"/>
              </w:rPr>
            </w:pPr>
            <w:r>
              <w:rPr>
                <w:rFonts w:hint="eastAsia" w:ascii="微软雅黑" w:hAnsi="微软雅黑" w:eastAsia="微软雅黑" w:cs="微软雅黑"/>
                <w:color w:val="auto"/>
                <w:sz w:val="21"/>
                <w:szCs w:val="21"/>
              </w:rPr>
              <w:t>3</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具有</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小时内到达</w:t>
            </w:r>
            <w:r>
              <w:rPr>
                <w:rFonts w:hint="eastAsia" w:ascii="微软雅黑" w:hAnsi="微软雅黑" w:eastAsia="微软雅黑" w:cs="微软雅黑"/>
                <w:color w:val="auto"/>
                <w:sz w:val="21"/>
                <w:szCs w:val="21"/>
                <w:lang w:eastAsia="zh-CN"/>
              </w:rPr>
              <w:t>本项目会诊中心</w:t>
            </w:r>
            <w:r>
              <w:rPr>
                <w:rFonts w:hint="eastAsia" w:ascii="微软雅黑" w:hAnsi="微软雅黑" w:eastAsia="微软雅黑" w:cs="微软雅黑"/>
                <w:color w:val="auto"/>
                <w:sz w:val="21"/>
                <w:szCs w:val="21"/>
              </w:rPr>
              <w:t>的服务能力得2分。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63" w:type="dxa"/>
            <w:vMerge w:val="continue"/>
            <w:vAlign w:val="center"/>
          </w:tcPr>
          <w:p>
            <w:pPr>
              <w:jc w:val="center"/>
              <w:rPr>
                <w:rFonts w:hint="eastAsia" w:ascii="微软雅黑" w:hAnsi="微软雅黑" w:eastAsia="微软雅黑" w:cs="微软雅黑"/>
                <w:color w:val="auto"/>
                <w:sz w:val="21"/>
                <w:szCs w:val="21"/>
              </w:rPr>
            </w:pPr>
          </w:p>
        </w:tc>
        <w:tc>
          <w:tcPr>
            <w:tcW w:w="1201" w:type="dxa"/>
            <w:vAlign w:val="center"/>
          </w:tcPr>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持续开发能力</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0分</w:t>
            </w:r>
          </w:p>
        </w:tc>
        <w:tc>
          <w:tcPr>
            <w:tcW w:w="7034" w:type="dxa"/>
            <w:gridSpan w:val="2"/>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投标人具备如下国家版权局颁发的</w:t>
            </w:r>
            <w:r>
              <w:rPr>
                <w:rFonts w:hint="eastAsia" w:ascii="微软雅黑" w:hAnsi="微软雅黑" w:eastAsia="微软雅黑" w:cs="微软雅黑"/>
                <w:color w:val="auto"/>
                <w:sz w:val="21"/>
                <w:szCs w:val="21"/>
                <w:lang w:eastAsia="zh-CN"/>
              </w:rPr>
              <w:t>计算机软件</w:t>
            </w:r>
            <w:r>
              <w:rPr>
                <w:rFonts w:hint="eastAsia" w:ascii="微软雅黑" w:hAnsi="微软雅黑" w:eastAsia="微软雅黑" w:cs="微软雅黑"/>
                <w:color w:val="auto"/>
                <w:sz w:val="21"/>
                <w:szCs w:val="21"/>
              </w:rPr>
              <w:t>著作权</w:t>
            </w:r>
            <w:r>
              <w:rPr>
                <w:rFonts w:hint="eastAsia" w:ascii="微软雅黑" w:hAnsi="微软雅黑" w:eastAsia="微软雅黑" w:cs="微软雅黑"/>
                <w:color w:val="auto"/>
                <w:sz w:val="21"/>
                <w:szCs w:val="21"/>
                <w:lang w:eastAsia="zh-CN"/>
              </w:rPr>
              <w:t>，每项</w:t>
            </w:r>
            <w:r>
              <w:rPr>
                <w:rFonts w:hint="eastAsia" w:ascii="微软雅黑" w:hAnsi="微软雅黑" w:eastAsia="微软雅黑" w:cs="微软雅黑"/>
                <w:color w:val="auto"/>
                <w:sz w:val="21"/>
                <w:szCs w:val="21"/>
                <w:lang w:val="en-US" w:eastAsia="zh-CN"/>
              </w:rPr>
              <w:t>2分，最多得20分</w:t>
            </w:r>
            <w:r>
              <w:rPr>
                <w:rFonts w:hint="eastAsia" w:ascii="微软雅黑" w:hAnsi="微软雅黑" w:eastAsia="微软雅黑" w:cs="微软雅黑"/>
                <w:color w:val="auto"/>
                <w:sz w:val="21"/>
                <w:szCs w:val="21"/>
              </w:rPr>
              <w:t>：</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区域会诊平台</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区域</w:t>
            </w:r>
            <w:r>
              <w:rPr>
                <w:rFonts w:hint="eastAsia" w:ascii="微软雅黑" w:hAnsi="微软雅黑" w:eastAsia="微软雅黑" w:cs="微软雅黑"/>
                <w:color w:val="auto"/>
                <w:sz w:val="21"/>
                <w:szCs w:val="21"/>
              </w:rPr>
              <w:t>影像系统、</w:t>
            </w:r>
            <w:r>
              <w:rPr>
                <w:rFonts w:hint="eastAsia" w:ascii="微软雅黑" w:hAnsi="微软雅黑" w:eastAsia="微软雅黑" w:cs="微软雅黑"/>
                <w:color w:val="auto"/>
                <w:sz w:val="21"/>
                <w:szCs w:val="21"/>
                <w:lang w:val="en-US" w:eastAsia="zh-CN"/>
              </w:rPr>
              <w:t>大数据驾驶舱系统、云胶片系统、支付结算系统、数据存储系统、医院评价系统、移动影像系统、视频协同系统、转诊系统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63" w:type="dxa"/>
            <w:vMerge w:val="continue"/>
            <w:vAlign w:val="center"/>
          </w:tcPr>
          <w:p>
            <w:pPr>
              <w:jc w:val="center"/>
              <w:rPr>
                <w:rFonts w:hint="eastAsia" w:ascii="微软雅黑" w:hAnsi="微软雅黑" w:eastAsia="微软雅黑" w:cs="微软雅黑"/>
                <w:color w:val="auto"/>
                <w:sz w:val="21"/>
                <w:szCs w:val="21"/>
              </w:rPr>
            </w:pPr>
          </w:p>
        </w:tc>
        <w:tc>
          <w:tcPr>
            <w:tcW w:w="1201" w:type="dxa"/>
            <w:vAlign w:val="center"/>
          </w:tcPr>
          <w:p>
            <w:pPr>
              <w:spacing w:line="276"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维保培训售后</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p>
        </w:tc>
        <w:tc>
          <w:tcPr>
            <w:tcW w:w="7034" w:type="dxa"/>
            <w:gridSpan w:val="2"/>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根据投标人提供的维保培训服务方案进行</w:t>
            </w:r>
            <w:r>
              <w:rPr>
                <w:rFonts w:hint="eastAsia" w:ascii="微软雅黑" w:hAnsi="微软雅黑" w:eastAsia="微软雅黑" w:cs="微软雅黑"/>
                <w:color w:val="auto"/>
                <w:sz w:val="21"/>
                <w:szCs w:val="21"/>
                <w:lang w:eastAsia="zh-CN"/>
              </w:rPr>
              <w:t>评</w:t>
            </w:r>
            <w:r>
              <w:rPr>
                <w:rFonts w:hint="eastAsia" w:ascii="微软雅黑" w:hAnsi="微软雅黑" w:eastAsia="微软雅黑" w:cs="微软雅黑"/>
                <w:color w:val="auto"/>
                <w:sz w:val="21"/>
                <w:szCs w:val="21"/>
              </w:rPr>
              <w:t>分，满分</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科学合理，适用性强，思路清晰，内容全面，能够根据实际情况制订，考虑问题周全，实施过程务实，各项指标均能完成得</w:t>
            </w:r>
            <w:r>
              <w:rPr>
                <w:rFonts w:hint="eastAsia" w:ascii="微软雅黑" w:hAnsi="微软雅黑" w:eastAsia="微软雅黑" w:cs="微软雅黑"/>
                <w:color w:val="auto"/>
                <w:sz w:val="21"/>
                <w:szCs w:val="21"/>
                <w:lang w:val="en-US" w:eastAsia="zh-CN"/>
              </w:rPr>
              <w:t>4-5</w:t>
            </w:r>
            <w:r>
              <w:rPr>
                <w:rFonts w:hint="eastAsia" w:ascii="微软雅黑" w:hAnsi="微软雅黑" w:eastAsia="微软雅黑" w:cs="微软雅黑"/>
                <w:color w:val="auto"/>
                <w:sz w:val="21"/>
                <w:szCs w:val="21"/>
              </w:rPr>
              <w:t>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基本能满足采购需要，能够根据实际情况制订，考虑问题相对周全，实施过程较务实，多数指标能完成得</w:t>
            </w:r>
            <w:r>
              <w:rPr>
                <w:rFonts w:hint="eastAsia" w:ascii="微软雅黑" w:hAnsi="微软雅黑" w:eastAsia="微软雅黑" w:cs="微软雅黑"/>
                <w:color w:val="auto"/>
                <w:sz w:val="21"/>
                <w:szCs w:val="21"/>
                <w:lang w:val="en-US" w:eastAsia="zh-CN"/>
              </w:rPr>
              <w:t>1-3</w:t>
            </w:r>
            <w:r>
              <w:rPr>
                <w:rFonts w:hint="eastAsia" w:ascii="微软雅黑" w:hAnsi="微软雅黑" w:eastAsia="微软雅黑" w:cs="微软雅黑"/>
                <w:color w:val="auto"/>
                <w:sz w:val="21"/>
                <w:szCs w:val="21"/>
              </w:rPr>
              <w:t>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维保培训服务方案不合理或不提供者得0分。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63" w:type="dxa"/>
            <w:vMerge w:val="continue"/>
            <w:vAlign w:val="center"/>
          </w:tcPr>
          <w:p>
            <w:pPr>
              <w:jc w:val="center"/>
              <w:rPr>
                <w:rFonts w:hint="eastAsia" w:ascii="微软雅黑" w:hAnsi="微软雅黑" w:eastAsia="微软雅黑" w:cs="微软雅黑"/>
                <w:color w:val="auto"/>
                <w:sz w:val="21"/>
                <w:szCs w:val="21"/>
              </w:rPr>
            </w:pPr>
          </w:p>
        </w:tc>
        <w:tc>
          <w:tcPr>
            <w:tcW w:w="1201" w:type="dxa"/>
            <w:vAlign w:val="center"/>
          </w:tcPr>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业绩</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tc>
        <w:tc>
          <w:tcPr>
            <w:tcW w:w="7034" w:type="dxa"/>
            <w:gridSpan w:val="2"/>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投标人具备至今仍在运行</w:t>
            </w:r>
            <w:r>
              <w:rPr>
                <w:rFonts w:hint="eastAsia" w:ascii="微软雅黑" w:hAnsi="微软雅黑" w:eastAsia="微软雅黑" w:cs="微软雅黑"/>
                <w:color w:val="auto"/>
                <w:sz w:val="21"/>
                <w:szCs w:val="21"/>
                <w:lang w:eastAsia="zh-CN"/>
              </w:rPr>
              <w:t>的</w:t>
            </w:r>
            <w:r>
              <w:rPr>
                <w:rFonts w:hint="eastAsia" w:ascii="微软雅黑" w:hAnsi="微软雅黑" w:eastAsia="微软雅黑" w:cs="微软雅黑"/>
                <w:color w:val="auto"/>
                <w:sz w:val="21"/>
                <w:szCs w:val="21"/>
              </w:rPr>
              <w:t>类似案例（必须</w:t>
            </w:r>
            <w:r>
              <w:rPr>
                <w:rFonts w:hint="eastAsia" w:ascii="微软雅黑" w:hAnsi="微软雅黑" w:eastAsia="微软雅黑" w:cs="微软雅黑"/>
                <w:color w:val="auto"/>
                <w:sz w:val="21"/>
                <w:szCs w:val="21"/>
                <w:lang w:eastAsia="zh-CN"/>
              </w:rPr>
              <w:t>包含</w:t>
            </w:r>
            <w:r>
              <w:rPr>
                <w:rFonts w:hint="eastAsia" w:ascii="微软雅黑" w:hAnsi="微软雅黑" w:eastAsia="微软雅黑" w:cs="微软雅黑"/>
                <w:color w:val="auto"/>
                <w:sz w:val="21"/>
                <w:szCs w:val="21"/>
              </w:rPr>
              <w:t>远程会诊、远程诊断等软件应用），</w:t>
            </w:r>
            <w:r>
              <w:rPr>
                <w:rFonts w:hint="eastAsia" w:ascii="微软雅黑" w:hAnsi="微软雅黑" w:eastAsia="微软雅黑" w:cs="微软雅黑"/>
                <w:color w:val="auto"/>
                <w:sz w:val="21"/>
                <w:szCs w:val="21"/>
                <w:lang w:val="en-US" w:eastAsia="zh-CN"/>
              </w:rPr>
              <w:t>提供相关合同或用户证明。</w:t>
            </w:r>
            <w:r>
              <w:rPr>
                <w:rFonts w:hint="eastAsia" w:ascii="微软雅黑" w:hAnsi="微软雅黑" w:eastAsia="微软雅黑" w:cs="微软雅黑"/>
                <w:color w:val="auto"/>
                <w:sz w:val="21"/>
                <w:szCs w:val="21"/>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63" w:type="dxa"/>
            <w:vMerge w:val="restart"/>
            <w:vAlign w:val="center"/>
          </w:tcPr>
          <w:p>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b/>
                <w:bCs/>
                <w:color w:val="auto"/>
                <w:sz w:val="21"/>
                <w:szCs w:val="21"/>
              </w:rPr>
              <w:t>技术部分</w:t>
            </w:r>
            <w:r>
              <w:rPr>
                <w:rFonts w:hint="eastAsia" w:ascii="微软雅黑" w:hAnsi="微软雅黑" w:eastAsia="微软雅黑" w:cs="微软雅黑"/>
                <w:b/>
                <w:bCs/>
                <w:color w:val="auto"/>
                <w:szCs w:val="28"/>
                <w:lang w:val="en-US" w:eastAsia="zh-CN"/>
              </w:rPr>
              <w:t>63</w:t>
            </w:r>
            <w:r>
              <w:rPr>
                <w:rFonts w:hint="eastAsia" w:ascii="微软雅黑" w:hAnsi="微软雅黑" w:eastAsia="微软雅黑" w:cs="微软雅黑"/>
                <w:b/>
                <w:bCs/>
                <w:color w:val="auto"/>
                <w:szCs w:val="28"/>
              </w:rPr>
              <w:t>%</w:t>
            </w:r>
          </w:p>
        </w:tc>
        <w:tc>
          <w:tcPr>
            <w:tcW w:w="1201" w:type="dxa"/>
            <w:vAlign w:val="center"/>
          </w:tcPr>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技术</w:t>
            </w:r>
            <w:r>
              <w:rPr>
                <w:rFonts w:hint="eastAsia" w:ascii="微软雅黑" w:hAnsi="微软雅黑" w:eastAsia="微软雅黑" w:cs="微软雅黑"/>
                <w:color w:val="auto"/>
                <w:sz w:val="21"/>
                <w:szCs w:val="21"/>
              </w:rPr>
              <w:t>指标</w:t>
            </w:r>
          </w:p>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38</w:t>
            </w:r>
            <w:r>
              <w:rPr>
                <w:rFonts w:hint="eastAsia" w:ascii="微软雅黑" w:hAnsi="微软雅黑" w:eastAsia="微软雅黑" w:cs="微软雅黑"/>
                <w:color w:val="auto"/>
                <w:sz w:val="21"/>
                <w:szCs w:val="21"/>
              </w:rPr>
              <w:t>分</w:t>
            </w:r>
          </w:p>
        </w:tc>
        <w:tc>
          <w:tcPr>
            <w:tcW w:w="7034" w:type="dxa"/>
            <w:gridSpan w:val="2"/>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本项基本分</w:t>
            </w:r>
            <w:r>
              <w:rPr>
                <w:rFonts w:hint="eastAsia" w:ascii="微软雅黑" w:hAnsi="微软雅黑" w:eastAsia="微软雅黑" w:cs="微软雅黑"/>
                <w:color w:val="auto"/>
                <w:sz w:val="21"/>
                <w:szCs w:val="21"/>
                <w:lang w:val="en-US" w:eastAsia="zh-CN"/>
              </w:rPr>
              <w:t>38分，</w:t>
            </w:r>
            <w:r>
              <w:rPr>
                <w:rFonts w:hint="eastAsia" w:ascii="微软雅黑" w:hAnsi="微软雅黑" w:eastAsia="微软雅黑" w:cs="微软雅黑"/>
                <w:color w:val="auto"/>
                <w:sz w:val="21"/>
                <w:szCs w:val="21"/>
              </w:rPr>
              <w:t>由评委根据</w:t>
            </w:r>
            <w:r>
              <w:rPr>
                <w:rFonts w:hint="eastAsia" w:ascii="微软雅黑" w:hAnsi="微软雅黑" w:eastAsia="微软雅黑" w:cs="微软雅黑"/>
                <w:color w:val="auto"/>
                <w:sz w:val="21"/>
                <w:szCs w:val="21"/>
                <w:lang w:eastAsia="zh-CN"/>
              </w:rPr>
              <w:t>投标文件中的</w:t>
            </w:r>
            <w:r>
              <w:rPr>
                <w:rFonts w:hint="eastAsia" w:ascii="微软雅黑" w:hAnsi="微软雅黑" w:eastAsia="微软雅黑" w:cs="微软雅黑"/>
                <w:color w:val="auto"/>
                <w:sz w:val="21"/>
                <w:szCs w:val="21"/>
              </w:rPr>
              <w:t>服务响应条款差异表</w:t>
            </w:r>
            <w:r>
              <w:rPr>
                <w:rFonts w:hint="eastAsia" w:ascii="微软雅黑" w:hAnsi="微软雅黑" w:eastAsia="微软雅黑" w:cs="微软雅黑"/>
                <w:color w:val="auto"/>
                <w:sz w:val="21"/>
                <w:szCs w:val="21"/>
                <w:lang w:eastAsia="zh-CN"/>
              </w:rPr>
              <w:t>中的承诺给分，正偏离不给分，每项负偏离扣</w:t>
            </w:r>
            <w:r>
              <w:rPr>
                <w:rFonts w:hint="eastAsia" w:ascii="微软雅黑" w:hAnsi="微软雅黑" w:eastAsia="微软雅黑" w:cs="微软雅黑"/>
                <w:color w:val="auto"/>
                <w:sz w:val="21"/>
                <w:szCs w:val="21"/>
                <w:lang w:val="en-US" w:eastAsia="zh-CN"/>
              </w:rPr>
              <w:t>1分，直到扣完38分为止。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963" w:type="dxa"/>
            <w:vMerge w:val="continue"/>
            <w:vAlign w:val="center"/>
          </w:tcPr>
          <w:p>
            <w:pPr>
              <w:jc w:val="center"/>
              <w:rPr>
                <w:rFonts w:hint="eastAsia" w:ascii="微软雅黑" w:hAnsi="微软雅黑" w:eastAsia="微软雅黑" w:cs="微软雅黑"/>
                <w:b/>
                <w:bCs/>
                <w:color w:val="auto"/>
                <w:szCs w:val="28"/>
              </w:rPr>
            </w:pPr>
          </w:p>
        </w:tc>
        <w:tc>
          <w:tcPr>
            <w:tcW w:w="1201" w:type="dxa"/>
            <w:vAlign w:val="center"/>
          </w:tcPr>
          <w:p>
            <w:pPr>
              <w:spacing w:line="276" w:lineRule="auto"/>
              <w:jc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现场操作或功能演示</w:t>
            </w:r>
          </w:p>
          <w:p>
            <w:pPr>
              <w:spacing w:line="276"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25</w:t>
            </w:r>
            <w:r>
              <w:rPr>
                <w:rFonts w:hint="eastAsia" w:ascii="微软雅黑" w:hAnsi="微软雅黑" w:eastAsia="微软雅黑" w:cs="微软雅黑"/>
                <w:color w:val="auto"/>
                <w:sz w:val="21"/>
                <w:szCs w:val="21"/>
              </w:rPr>
              <w:t>分</w:t>
            </w:r>
          </w:p>
        </w:tc>
        <w:tc>
          <w:tcPr>
            <w:tcW w:w="7034" w:type="dxa"/>
            <w:gridSpan w:val="2"/>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微软雅黑" w:hAnsi="微软雅黑" w:eastAsia="微软雅黑" w:cs="微软雅黑"/>
                <w:color w:val="auto"/>
                <w:sz w:val="21"/>
                <w:szCs w:val="21"/>
                <w:lang w:val="en-US"/>
              </w:rPr>
            </w:pPr>
            <w:r>
              <w:rPr>
                <w:rFonts w:hint="eastAsia" w:ascii="微软雅黑" w:hAnsi="微软雅黑" w:eastAsia="微软雅黑" w:cs="微软雅黑"/>
                <w:color w:val="auto"/>
                <w:sz w:val="21"/>
                <w:szCs w:val="21"/>
                <w:lang w:val="en-US" w:eastAsia="zh-CN"/>
              </w:rPr>
              <w:t>投标人基于真实环境操作</w:t>
            </w:r>
            <w:r>
              <w:rPr>
                <w:rFonts w:hint="eastAsia" w:ascii="微软雅黑" w:hAnsi="微软雅黑" w:eastAsia="微软雅黑" w:cs="微软雅黑"/>
                <w:color w:val="auto"/>
                <w:sz w:val="21"/>
                <w:szCs w:val="21"/>
              </w:rPr>
              <w:t>或现场</w:t>
            </w:r>
            <w:r>
              <w:rPr>
                <w:rFonts w:hint="eastAsia" w:ascii="微软雅黑" w:hAnsi="微软雅黑" w:eastAsia="微软雅黑" w:cs="微软雅黑"/>
                <w:color w:val="auto"/>
                <w:sz w:val="21"/>
                <w:szCs w:val="21"/>
                <w:lang w:eastAsia="zh-CN"/>
              </w:rPr>
              <w:t>软件功能演示，评委逐项打分：完全满足的给满分，</w:t>
            </w:r>
            <w:r>
              <w:rPr>
                <w:rFonts w:hint="eastAsia" w:ascii="微软雅黑" w:hAnsi="微软雅黑" w:eastAsia="微软雅黑" w:cs="微软雅黑"/>
                <w:color w:val="auto"/>
                <w:sz w:val="21"/>
                <w:szCs w:val="21"/>
                <w:lang w:val="en-US" w:eastAsia="zh-CN"/>
              </w:rPr>
              <w:t>ppt演示或功能不完全具备的酌情给分，</w:t>
            </w:r>
            <w:r>
              <w:rPr>
                <w:rFonts w:hint="eastAsia" w:ascii="微软雅黑" w:hAnsi="微软雅黑" w:eastAsia="微软雅黑" w:cs="微软雅黑"/>
                <w:color w:val="auto"/>
                <w:sz w:val="21"/>
                <w:szCs w:val="21"/>
                <w:lang w:eastAsia="zh-CN"/>
              </w:rPr>
              <w:t>没演示</w:t>
            </w:r>
            <w:r>
              <w:rPr>
                <w:rFonts w:hint="eastAsia" w:ascii="微软雅黑" w:hAnsi="微软雅黑" w:eastAsia="微软雅黑" w:cs="微软雅黑"/>
                <w:color w:val="auto"/>
                <w:sz w:val="21"/>
                <w:szCs w:val="21"/>
                <w:lang w:val="en-US" w:eastAsia="zh-CN"/>
              </w:rPr>
              <w:t>给0分。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根据投标人演示同一入口（远程\会诊\放射）其它界面操作方便，界面友好，能完整演示各项要求演示的功能</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1分）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提供区域内医师之间的实时文字、语音、视频通信</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（2分）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具备超时诊断提示</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对诊断没有按时诊断可能导致的漏诊报告进行提醒</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 xml:space="preserve">（得2 分）            </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具备会诊通知与微信消息同步且支持语音播报提供区域内影像协同处理以及影像在线处理得（5分）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区域远程影像在线互动诊断：会诊方与申请方图像调节需要能够保持实时同步，且保证图像显示效果完全一致(含移动位置、行列布局、窗宽窗位、大小、图像标准等)（4分）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支持自我流程监控和自我修复功能（4分）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支持影像报告质控评分打分记录处理（4分）</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软件对运营业务的支持：支撑远程影像的运营和互联网服务，包括支持支付结算应用、自助打印与云报告（</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分）</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rPr>
        <w:t>说明：评标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w:t>
      </w:r>
      <w:r>
        <w:rPr>
          <w:rFonts w:hint="eastAsia" w:ascii="宋体" w:hAnsi="宋体"/>
          <w:sz w:val="24"/>
          <w:szCs w:val="24"/>
          <w:highlight w:val="none"/>
        </w:rPr>
        <w:t>人资格，按顺序由排在后一位的中标候选人递补，以此类推。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一、</w:t>
      </w:r>
      <w:r>
        <w:rPr>
          <w:rFonts w:hint="eastAsia" w:ascii="宋体" w:hAnsi="宋体"/>
          <w:sz w:val="24"/>
          <w:szCs w:val="24"/>
          <w:highlight w:val="none"/>
        </w:rPr>
        <w:t>报价政策性扣减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1、关于小微企业：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按&lt;关于印发《政府采购促进中小企业发展暂行办法》的通知&gt;（财库〔2011〕181号）之规定，中小企业的标准为：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1.1提供本企业制造的货物、承担的工程或者服务，或者提供其他中小企业制造的货物，不包括提供或使用大型企业注册商标的货物。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1.2本规定所称中小企业划分标准按照《工业和信息化部、国家统计局、国家发展和改革委员会、财政部关于印发中小企业划型标准规定的通知》（工信部联企业〔2011〕300号）执行。若投标人认为本企业符合中小企业划分标准，且提供的标的物为本企业制造的货物、承担的工程或服务，须如实填写《中小微企业声明函》。若提供了其他企业制造的货物，且该企业符合《关于印发中小企业划型标准规定的通知》（工信部联企业〔2011〕300号）规定的中小企业划分标准的，还须提供制造商的《中小微企业声明函》原件（涉及多个制造商的，每个制造商均需出具）。中标的小微企业在评审过程中按照政府采购政策享受了报价扣除的，将在结果公告中公告企业类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1.3小型、微型企业提供有中型企业制造的货物的，视同为中型企业；小型、微型、中型企业提供有大型企业制造的货物的，视同为大型企业。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2、具体投标报价扣除比例说明：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2.1投标人为非联合体投标的，对小型企业给予6%的扣除，微型企业给予8%的扣除（注册资金十五万及以下的微型企业给予10%的扣除），以扣除后的报价参与评审。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2.2监狱企业、残疾人福利性单位属于微型企业的，应提供《中小微企业声明函》。未提供以上资料的监狱企业、残疾人福利性单位视同小型企业。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备注：1、中标的小微企业在评审过程中按照政府采购政策享受了报价扣除的，将在结果公告中公告企业类型。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2、对于未如实填写《中小微企业声明函》的供应商，一经查实，将按政府采购法律法规进行处理。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sz w:val="24"/>
          <w:szCs w:val="24"/>
          <w:highlight w:val="none"/>
        </w:rPr>
      </w:pPr>
      <w:r>
        <w:rPr>
          <w:rFonts w:hint="eastAsia" w:ascii="宋体"/>
          <w:sz w:val="24"/>
          <w:szCs w:val="24"/>
          <w:highlight w:val="none"/>
          <w:lang w:val="en-US" w:eastAsia="zh-CN"/>
        </w:rPr>
        <w:t>二</w:t>
      </w:r>
      <w:r>
        <w:rPr>
          <w:rFonts w:ascii="宋体"/>
          <w:sz w:val="24"/>
          <w:szCs w:val="24"/>
          <w:highlight w:val="none"/>
        </w:rPr>
        <w:t>、</w:t>
      </w:r>
      <w:bookmarkEnd w:id="39"/>
      <w:r>
        <w:rPr>
          <w:rFonts w:ascii="宋体"/>
          <w:sz w:val="24"/>
          <w:szCs w:val="24"/>
          <w:highlight w:val="none"/>
        </w:rPr>
        <w:t>供应商或其响应文件出现下列情况之一者，应为无效：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（一）供应商未按比选文件规定提交比选保证金的；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（二）供应商法定代表人或法人授权代表未按时参加比选的；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（三）供应商未通过资格性检查或比选文件未通过符合性检查的；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（四）报价超出招标文件规定的采购预算的（设定最高限价的不得超过最高限价）；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（五）供应商超出其营业执照或事业单位法人证书上经营范围（业务范围）参与比选的；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（八）响应文件未按照比选文件第六篇比选文件格式中所规定签字、盖章的；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（九）响应文件出现多个方案或报价的；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（十）响应文件含有采购人不能接受的附加条件的；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（十一）供应商组成联合体参与比选的（拒绝联合体比选时适用）；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（十二）供应商串通投标的；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（十三）法律、法规和比选文件规定的其他无效情形。</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b w:val="0"/>
          <w:bCs/>
          <w:sz w:val="24"/>
          <w:szCs w:val="24"/>
          <w:highlight w:val="none"/>
        </w:rPr>
      </w:pPr>
      <w:bookmarkStart w:id="40" w:name="_Toc441065677"/>
      <w:r>
        <w:rPr>
          <w:rFonts w:hint="eastAsia" w:ascii="宋体"/>
          <w:b w:val="0"/>
          <w:bCs/>
          <w:sz w:val="24"/>
          <w:szCs w:val="24"/>
          <w:highlight w:val="none"/>
          <w:lang w:val="en-US" w:eastAsia="zh-CN"/>
        </w:rPr>
        <w:t>三</w:t>
      </w:r>
      <w:r>
        <w:rPr>
          <w:rFonts w:hint="eastAsia" w:ascii="宋体"/>
          <w:b w:val="0"/>
          <w:bCs/>
          <w:sz w:val="24"/>
          <w:szCs w:val="24"/>
          <w:highlight w:val="none"/>
        </w:rPr>
        <w:t>、</w:t>
      </w:r>
      <w:bookmarkEnd w:id="40"/>
      <w:r>
        <w:rPr>
          <w:rFonts w:hint="eastAsia" w:ascii="宋体"/>
          <w:b w:val="0"/>
          <w:bCs/>
          <w:sz w:val="24"/>
          <w:szCs w:val="24"/>
          <w:highlight w:val="none"/>
        </w:rPr>
        <w:t>比选小组评审时出现以下情况之一的，应当终止竞争性比选采购活动：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符合专业条件的供应商或者对比选文件作实质响应的供应商不足三家的；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提交最后报价的供应商不足三家的（市场竞争不充分的科研项目，以及需要扶持的科技成果转化项目应为供应商不足二家的）；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w:t>
      </w:r>
      <w:r>
        <w:rPr>
          <w:rFonts w:hint="eastAsia" w:ascii="宋体" w:hAnsi="宋体"/>
          <w:sz w:val="24"/>
          <w:szCs w:val="24"/>
        </w:rPr>
        <w:t>供应商的报价均超过了采购预算（设定最高限价的不得超过最高限价），采购人不能支付的；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四</w:t>
      </w:r>
      <w:r>
        <w:rPr>
          <w:rFonts w:hint="eastAsia" w:ascii="宋体" w:hAnsi="宋体"/>
          <w:sz w:val="24"/>
          <w:szCs w:val="24"/>
          <w:lang w:eastAsia="zh-CN"/>
        </w:rPr>
        <w:t>）</w:t>
      </w:r>
      <w:r>
        <w:rPr>
          <w:rFonts w:hint="eastAsia" w:ascii="宋体" w:hAnsi="宋体"/>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五</w:t>
      </w:r>
      <w:r>
        <w:rPr>
          <w:rFonts w:hint="eastAsia" w:ascii="宋体" w:hAnsi="宋体"/>
          <w:sz w:val="24"/>
          <w:szCs w:val="24"/>
          <w:lang w:eastAsia="zh-CN"/>
        </w:rPr>
        <w:t>）</w:t>
      </w:r>
      <w:r>
        <w:rPr>
          <w:rFonts w:hint="eastAsia" w:ascii="宋体" w:hAnsi="宋体"/>
          <w:sz w:val="24"/>
          <w:szCs w:val="24"/>
        </w:rPr>
        <w:t>因重大变故，采购任务取消的。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竞争性比选活动终止后，除采购任务取消情形外，应当重新组织采购。</w:t>
      </w:r>
    </w:p>
    <w:p>
      <w:pPr>
        <w:pStyle w:val="2"/>
        <w:spacing w:before="0" w:beforeLines="0" w:after="0" w:afterLines="0" w:line="276" w:lineRule="auto"/>
        <w:rPr>
          <w:rFonts w:hint="eastAsia" w:ascii="宋体" w:hAnsi="宋体" w:eastAsia="宋体"/>
          <w:lang w:val="en-US" w:eastAsia="zh-CN"/>
        </w:rPr>
      </w:pPr>
      <w:r>
        <w:rPr>
          <w:rFonts w:hint="eastAsia" w:ascii="宋体" w:hAnsi="宋体" w:eastAsia="宋体"/>
          <w:sz w:val="28"/>
        </w:rPr>
        <w:br w:type="page"/>
      </w:r>
      <w:bookmarkStart w:id="41" w:name="_Toc865"/>
      <w:r>
        <w:rPr>
          <w:rFonts w:hint="eastAsia" w:ascii="宋体" w:hAnsi="宋体" w:eastAsia="宋体"/>
          <w:lang w:val="en-US" w:eastAsia="zh-CN"/>
        </w:rPr>
        <w:t>第四篇 供应商须知</w:t>
      </w:r>
      <w:bookmarkEnd w:id="41"/>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b/>
          <w:sz w:val="28"/>
          <w:szCs w:val="21"/>
        </w:rPr>
      </w:pPr>
      <w:bookmarkStart w:id="42" w:name="_Toc441065679"/>
      <w:bookmarkStart w:id="43" w:name="_Toc25688"/>
      <w:r>
        <w:rPr>
          <w:rFonts w:hint="eastAsia"/>
          <w:b/>
          <w:sz w:val="28"/>
          <w:szCs w:val="21"/>
        </w:rPr>
        <w:t>一、</w:t>
      </w:r>
      <w:bookmarkEnd w:id="42"/>
      <w:r>
        <w:rPr>
          <w:rFonts w:hint="eastAsia"/>
          <w:b/>
          <w:sz w:val="28"/>
          <w:szCs w:val="21"/>
        </w:rPr>
        <w:t>供应商</w:t>
      </w:r>
      <w:bookmarkEnd w:id="4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1、合格供应商条件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合格供应商应完全符合比选文件第一篇中规定的供应商资格条件，并对比选文件作出实质性响应。</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2、供应商的风险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供应商没有按照比选文件要求提供全部资料，或者供应商没有对比选文件在各方面作出实质性响应，可能导致拒绝参与比选或评定为无效。</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 w:val="28"/>
          <w:szCs w:val="21"/>
        </w:rPr>
      </w:pPr>
      <w:bookmarkStart w:id="44" w:name="_Toc441065680"/>
      <w:bookmarkStart w:id="45" w:name="_Toc8991"/>
      <w:r>
        <w:rPr>
          <w:rFonts w:hint="eastAsia"/>
          <w:b/>
          <w:sz w:val="28"/>
          <w:szCs w:val="21"/>
        </w:rPr>
        <w:t>二、比选文件</w:t>
      </w:r>
      <w:bookmarkEnd w:id="44"/>
      <w:bookmarkEnd w:id="4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比选文件是供应商编制响应文件的依据，是比选小组评判依据和标准。比选文件也是采购人与成交供应商签订合同的基础。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（一）比选文件由竞争性比选邀请书；项目具体要求；评审程序、评审方法和评审标准；供应商须知；合同主要条款和格式合同样本；响应文件格式等六部分组成。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szCs w:val="28"/>
        </w:rPr>
        <w:t>（二）</w:t>
      </w:r>
      <w:r>
        <w:rPr>
          <w:rFonts w:hint="eastAsia" w:ascii="宋体" w:hAnsi="宋体"/>
          <w:sz w:val="24"/>
        </w:rPr>
        <w:t>采购人对比选文件所作的一切有效的书面通知、修改及补充，都是比选文件不可分割的部分。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（三）采购人对比选文件所作的一切有效的通知、补遗、澄清或修改（以网上公示内容为准），都是比选文件不可分割的部分。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（四）本项目所有补遗文件（包含澄清或者修改文件）一律在</w:t>
      </w:r>
      <w:r>
        <w:rPr>
          <w:rFonts w:hint="eastAsia" w:ascii="宋体" w:hAnsi="宋体"/>
          <w:sz w:val="24"/>
          <w:szCs w:val="24"/>
        </w:rPr>
        <w:t>重庆市第九人民医院官网</w:t>
      </w:r>
      <w:r>
        <w:rPr>
          <w:rFonts w:hint="eastAsia" w:ascii="宋体" w:hAnsi="宋体"/>
          <w:sz w:val="24"/>
        </w:rPr>
        <w:t>发布，请各供应商注意下载，</w:t>
      </w:r>
      <w:r>
        <w:rPr>
          <w:rFonts w:hint="eastAsia" w:ascii="宋体" w:hAnsi="宋体"/>
          <w:sz w:val="24"/>
          <w:szCs w:val="24"/>
        </w:rPr>
        <w:t>无论供应商下载与否，均视同供应商已知晓本项目比选文件、补遗文件的内容</w:t>
      </w:r>
      <w:r>
        <w:rPr>
          <w:rFonts w:hint="eastAsia" w:ascii="宋体" w:hAnsi="宋体"/>
          <w:sz w:val="24"/>
        </w:rPr>
        <w:t>。</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b/>
          <w:sz w:val="24"/>
        </w:rPr>
      </w:pPr>
      <w:bookmarkStart w:id="46" w:name="_Toc441065681"/>
      <w:bookmarkStart w:id="47" w:name="_Toc31156"/>
      <w:r>
        <w:rPr>
          <w:rFonts w:hint="eastAsia"/>
          <w:b/>
          <w:sz w:val="24"/>
        </w:rPr>
        <w:t>三、响应文件</w:t>
      </w:r>
      <w:bookmarkEnd w:id="46"/>
      <w:bookmarkEnd w:id="47"/>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供应商应当按照比选文件的要求编制响应文件，并对比选文件提出的要求和条件作出实质性响应，响应文件原则上采用软面订本，同时应编制完整的页码、目录。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（一）响应文件组成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响应文件由第六篇“响应文件格式”规定的部分和供应商所作的一切有效补充、修改和承诺等文件组成，供应商应按照第六篇“响应文件格式”规定的目录顺序组织编写和装订，否则有可能影响比选小组对响应文件的评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（二）联合参与比选</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方正仿宋_GBK"/>
          <w:b/>
          <w:bCs/>
          <w:sz w:val="24"/>
          <w:szCs w:val="24"/>
          <w:u w:val="single"/>
        </w:rPr>
      </w:pPr>
      <w:r>
        <w:rPr>
          <w:rFonts w:hint="eastAsia" w:ascii="宋体" w:hAnsi="宋体" w:cs="方正仿宋_GBK"/>
          <w:b/>
          <w:bCs/>
          <w:sz w:val="24"/>
          <w:szCs w:val="24"/>
          <w:u w:val="single"/>
        </w:rPr>
        <w:t>本项目不支持联合体投标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（三）响应文件有效期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响应文件有效期为响应文件提交截止日期后九十天内。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（四）比选保证金</w:t>
      </w:r>
    </w:p>
    <w:p>
      <w:pPr>
        <w:keepNext w:val="0"/>
        <w:keepLines w:val="0"/>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sz w:val="24"/>
        </w:rPr>
        <w:t>1、供应商应在响应文件提交截止时间前，按比选文件第一篇规定缴纳比选保证金。</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2、比选保证金为比选的有效约束条件。</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3、比选保证金的有效期限在响应文件有效期过后三十天内继续有效。</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4、比选保证金币种应与响应文件中报价币种相同。</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5、采购人在《成交通知书》发出后五个工作日内无息退还未成交供应商的比选保证金；在采购合同签订后五个工作日无息退还成交供应商的比选保证金。</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6、供应商有下列情形之一的，经监督部门和采购人确认属实，比选保证金将不予退还，由采购代理机构上缴国库：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（1）供应商在提交响应文件截止时间后撤回响应文件的；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（2）供应商在响应文件中提供虚假材料的；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（3）除因不可抗力或竞争性比选文件认可的情形以外，成交供应商不与采购人签订合同的；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（4）供应商与采购人、其他供应商或者采购代理机构恶意串通的；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（5）成交供应商不按规定的时间或拒绝按成交状态签订合同（即不按照采购文件确定的合同文本以及采购标的、规格型号、采购金额、采购数量、技术和服务要求等事项签订政府采购合同的。）。</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bCs/>
          <w:sz w:val="24"/>
        </w:rPr>
      </w:pPr>
      <w:r>
        <w:rPr>
          <w:rFonts w:hint="eastAsia" w:ascii="宋体" w:hAnsi="宋体"/>
          <w:bCs/>
          <w:sz w:val="24"/>
        </w:rPr>
        <w:t>（五）响应文件的份数和签署</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1、响应文件一式二份，其中正本一份，副本一份。每套纸质响应文件须在封面清楚地标明“正本”或“副本”，副本应为正本的完整复印件，副本与正本不一致时以正本为准。</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2、在比选文件第六篇响应文件格式中规定签字、盖章的地方必须按其规定签字、盖章。</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3、若供应商对响应文件的错处作必要修改，则应在修改处加盖供应商公章或由</w:t>
      </w:r>
      <w:r>
        <w:rPr>
          <w:rFonts w:hint="eastAsia" w:ascii="宋体" w:hAnsi="宋体"/>
          <w:sz w:val="24"/>
          <w:szCs w:val="28"/>
        </w:rPr>
        <w:t>法定代表人</w:t>
      </w:r>
      <w:r>
        <w:rPr>
          <w:rFonts w:hint="eastAsia" w:ascii="宋体" w:hAnsi="宋体"/>
          <w:sz w:val="24"/>
        </w:rPr>
        <w:t>或</w:t>
      </w:r>
      <w:r>
        <w:rPr>
          <w:rFonts w:hint="eastAsia" w:ascii="宋体" w:hAnsi="宋体"/>
          <w:sz w:val="24"/>
          <w:szCs w:val="28"/>
        </w:rPr>
        <w:t>法定代表人</w:t>
      </w:r>
      <w:r>
        <w:rPr>
          <w:rFonts w:hint="eastAsia" w:ascii="宋体" w:hAnsi="宋体"/>
          <w:sz w:val="24"/>
        </w:rPr>
        <w:t>授权代表签字确认。</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sz w:val="24"/>
        </w:rPr>
      </w:pPr>
      <w:r>
        <w:rPr>
          <w:rFonts w:hint="eastAsia" w:ascii="宋体" w:hAnsi="宋体"/>
          <w:sz w:val="24"/>
        </w:rPr>
        <w:t>4、电报、电话、传真形式的响应文件概不接受。</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bCs/>
          <w:sz w:val="24"/>
        </w:rPr>
      </w:pPr>
      <w:r>
        <w:rPr>
          <w:rFonts w:hint="eastAsia" w:ascii="宋体" w:hAnsi="宋体"/>
          <w:bCs/>
          <w:sz w:val="24"/>
        </w:rPr>
        <w:t>（六）报价</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sz w:val="24"/>
        </w:rPr>
      </w:pPr>
      <w:r>
        <w:rPr>
          <w:rFonts w:hint="eastAsia" w:ascii="宋体" w:hAnsi="宋体"/>
          <w:bCs/>
          <w:sz w:val="24"/>
        </w:rPr>
        <w:t>1、供应商应严格按照“响应文件格式”中“报价一览表”和“分项报价明细表”</w:t>
      </w:r>
      <w:r>
        <w:rPr>
          <w:rFonts w:hint="eastAsia" w:ascii="宋体" w:hAnsi="宋体"/>
          <w:sz w:val="24"/>
        </w:rPr>
        <w:t>的格式填写报价。</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sz w:val="24"/>
        </w:rPr>
        <w:t>2、供应商的报价为一次性报价，即在响应文件有效期内报价固定不变。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sz w:val="24"/>
        </w:rPr>
        <w:t>3、本项目只接受一个报价，有选择的或有条件的报价将不予接受。</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（七）修正错误</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若响应文件出现计算或表达上的错误，修正错误的原则如下：</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sz w:val="24"/>
        </w:rPr>
        <w:t>1、开标一览表总价与分项报价明细表汇总数不一致的，</w:t>
      </w:r>
      <w:r>
        <w:rPr>
          <w:rFonts w:hint="eastAsia" w:ascii="宋体" w:hAnsi="宋体" w:cs="Arial"/>
          <w:kern w:val="0"/>
          <w:sz w:val="24"/>
        </w:rPr>
        <w:t>以报价一览表为准；</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2、大写金额和小写金额不一致的，以大写金额为准；</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3、总价金额与按单价汇总金额不一致的，以单价金额计算结果为准；</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4、单价金额小数点有明显错位的，应以总价为准，并修正单价；</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5、对不同文字文本响应文件的解释发生异议的，以中文文本为准。</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比选小组按上述修正错误的原则及方法调整或修正供应商报价，供应商同意并签字确认后，调整后的报价对供应商具有约束作用。如果供应商不接受修正后的报价，则将其作为响应文件无效处理。</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（八）响应文件的递交</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1、响应文件的密封与标记</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1.1响应文件的正本、副本均应密封送达比选地点，应在封套上注明项目名称、供应商名称。若正本、副本分别进行密封的，还应在封套上注明“正本”、“副本”字样。</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1.2封套的封口处应加盖供应商公章或由法定代表人授权代表签字。</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2、如果未按上述规定进行密封和标记，采购人对响应文件误投、丢失或提前拆封不负责任。</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 w:val="28"/>
          <w:szCs w:val="21"/>
        </w:rPr>
      </w:pPr>
      <w:bookmarkStart w:id="48" w:name="_Toc441065682"/>
      <w:bookmarkStart w:id="49" w:name="_Toc21866"/>
      <w:r>
        <w:rPr>
          <w:rFonts w:hint="eastAsia"/>
          <w:b/>
          <w:sz w:val="28"/>
          <w:szCs w:val="21"/>
        </w:rPr>
        <w:t>四、</w:t>
      </w:r>
      <w:bookmarkEnd w:id="48"/>
      <w:r>
        <w:rPr>
          <w:rFonts w:hint="eastAsia"/>
          <w:b/>
          <w:sz w:val="28"/>
          <w:szCs w:val="21"/>
        </w:rPr>
        <w:t>竞争性比选程序</w:t>
      </w:r>
      <w:bookmarkEnd w:id="49"/>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（一）比选应当在比选文件中“竞争性比选邀请书”确定的时间和地点公开进行。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（二）比选评审活动邀请采购人、财政部门和有关监督部门代表参加，财政部门和有关监督部门可视情况派员现场监督。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（三）按比选文件规定的响应文件提交截止时间内，供应商法定代表人或授权代表签到并提交响应文件，比选保证金。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（四）比选评审前，由供应商或者其推选的授权代表检查响应文件的密封情况，经确认密封完好的响应文件，由采购人工作人员当众拆封。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（五）响应文件转入评标室由比选小组评审。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六</w:t>
      </w:r>
      <w:r>
        <w:rPr>
          <w:rFonts w:hint="eastAsia" w:ascii="宋体" w:hAnsi="宋体"/>
          <w:sz w:val="24"/>
        </w:rPr>
        <w:t>）比选小组对响应文件进行资格性和符合性审查。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七</w:t>
      </w:r>
      <w:r>
        <w:rPr>
          <w:rFonts w:hint="eastAsia" w:ascii="宋体" w:hAnsi="宋体"/>
          <w:sz w:val="24"/>
        </w:rPr>
        <w:t>）</w:t>
      </w:r>
      <w:r>
        <w:rPr>
          <w:rFonts w:hint="eastAsia" w:ascii="宋体" w:hAnsi="宋体"/>
          <w:b/>
          <w:sz w:val="24"/>
          <w:szCs w:val="24"/>
        </w:rPr>
        <w:t>竞争性比选以签到的顺序作为比选顺序</w:t>
      </w:r>
      <w:r>
        <w:rPr>
          <w:rFonts w:hint="eastAsia" w:ascii="宋体" w:hAnsi="宋体"/>
          <w:sz w:val="24"/>
          <w:szCs w:val="24"/>
        </w:rPr>
        <w:t>，</w:t>
      </w:r>
      <w:r>
        <w:rPr>
          <w:rFonts w:hint="eastAsia" w:ascii="宋体" w:hAnsi="宋体"/>
          <w:sz w:val="24"/>
        </w:rPr>
        <w:t>比选小组</w:t>
      </w:r>
      <w:r>
        <w:rPr>
          <w:rFonts w:hint="eastAsia" w:ascii="宋体" w:hAnsi="宋体" w:cs="方正仿宋_GBK"/>
          <w:sz w:val="24"/>
          <w:szCs w:val="24"/>
        </w:rPr>
        <w:t>分别与各供应商进行比选，供应商入场参与比选的人员不得超过2人，其中包含法定代表人授权代表和项目负责人（可为同一人）。若有实质性变动，供应商应作出相应承诺或重新提交响应文件（具体见</w:t>
      </w:r>
      <w:r>
        <w:rPr>
          <w:rFonts w:hint="eastAsia" w:ascii="宋体" w:hAnsi="宋体"/>
          <w:sz w:val="24"/>
        </w:rPr>
        <w:t>第三篇“评审程序”内容）</w:t>
      </w:r>
      <w:r>
        <w:rPr>
          <w:rFonts w:hint="eastAsia" w:ascii="宋体" w:hAnsi="宋体" w:cs="方正仿宋_GBK"/>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八</w:t>
      </w:r>
      <w:r>
        <w:rPr>
          <w:rFonts w:hint="eastAsia" w:ascii="宋体" w:hAnsi="宋体"/>
          <w:sz w:val="24"/>
        </w:rPr>
        <w:t>）供应商按比选情况，提交最后报价。最后报价应统一填写，同时提交，并由主持人当众宣读合格供应商的最后报价。</w:t>
      </w:r>
      <w:r>
        <w:rPr>
          <w:rFonts w:hint="eastAsia" w:ascii="宋体" w:hAnsi="宋体"/>
          <w:b/>
          <w:bCs/>
          <w:sz w:val="24"/>
          <w:szCs w:val="24"/>
        </w:rPr>
        <w:t>原则上最终报价不得高于原报价，超出规定时间没有提交最终报价或最终报价高于原报价的或最终报价有歧义的，视为供应商放弃最终报价，以其原报价为准。最终报价如只报总价，则最终单项报价以最终总报价与第一轮总报价之比同比例下浮（下浮比例的计算保留到小数点后两位）。</w:t>
      </w:r>
    </w:p>
    <w:p>
      <w:pPr>
        <w:pStyle w:val="31"/>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sz w:val="24"/>
        </w:rPr>
      </w:pPr>
      <w:r>
        <w:rPr>
          <w:rFonts w:hint="eastAsia" w:hAnsi="宋体"/>
          <w:sz w:val="24"/>
        </w:rPr>
        <w:t>（</w:t>
      </w:r>
      <w:r>
        <w:rPr>
          <w:rFonts w:hint="eastAsia" w:hAnsi="宋体"/>
          <w:sz w:val="24"/>
          <w:lang w:val="en-US" w:eastAsia="zh-CN"/>
        </w:rPr>
        <w:t>九</w:t>
      </w:r>
      <w:r>
        <w:rPr>
          <w:rFonts w:hint="eastAsia" w:hAnsi="宋体"/>
          <w:sz w:val="24"/>
        </w:rPr>
        <w:t>）比选小组采用综合评分法对提交最后报价的供应商的响应文件和最后报价进行综合评分。</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 w:val="28"/>
          <w:szCs w:val="21"/>
        </w:rPr>
      </w:pPr>
      <w:bookmarkStart w:id="50" w:name="_Toc441065684"/>
      <w:bookmarkStart w:id="51" w:name="_Toc6996"/>
      <w:r>
        <w:rPr>
          <w:rFonts w:hint="eastAsia"/>
          <w:b/>
          <w:sz w:val="28"/>
          <w:szCs w:val="21"/>
        </w:rPr>
        <w:t>五、</w:t>
      </w:r>
      <w:bookmarkEnd w:id="50"/>
      <w:r>
        <w:rPr>
          <w:rFonts w:hint="eastAsia"/>
          <w:b/>
          <w:sz w:val="28"/>
          <w:szCs w:val="21"/>
        </w:rPr>
        <w:t>确定成交供应商</w:t>
      </w:r>
      <w:bookmarkEnd w:id="51"/>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sz w:val="24"/>
        </w:rPr>
        <w:t>（一）成交原则</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sz w:val="24"/>
        </w:rPr>
        <w:t>采购人或其授权的比选小组应按照评审报告中推荐的成交候选人排名顺序确定成交供应商。</w:t>
      </w:r>
    </w:p>
    <w:p>
      <w:pPr>
        <w:pStyle w:val="31"/>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Ansi="宋体"/>
          <w:sz w:val="24"/>
        </w:rPr>
      </w:pPr>
      <w:r>
        <w:rPr>
          <w:rFonts w:hint="eastAsia" w:hAnsi="宋体"/>
          <w:sz w:val="24"/>
        </w:rPr>
        <w:t>确定程序</w:t>
      </w:r>
    </w:p>
    <w:p>
      <w:pPr>
        <w:pStyle w:val="31"/>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Ansi="宋体"/>
          <w:b/>
          <w:sz w:val="24"/>
        </w:rPr>
      </w:pPr>
      <w:r>
        <w:rPr>
          <w:rFonts w:hint="eastAsia" w:hAnsi="宋体"/>
          <w:b/>
          <w:sz w:val="24"/>
        </w:rPr>
        <w:t>本项目</w:t>
      </w:r>
      <w:r>
        <w:rPr>
          <w:rFonts w:hint="eastAsia" w:hAnsi="宋体"/>
          <w:b/>
          <w:bCs/>
          <w:sz w:val="24"/>
        </w:rPr>
        <w:t>授权比选小组直接确定成交供应商</w:t>
      </w:r>
    </w:p>
    <w:p>
      <w:pPr>
        <w:pStyle w:val="31"/>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Ansi="宋体"/>
          <w:sz w:val="24"/>
        </w:rPr>
      </w:pPr>
      <w:r>
        <w:rPr>
          <w:rFonts w:hint="eastAsia" w:hAnsi="宋体"/>
          <w:sz w:val="24"/>
        </w:rPr>
        <w:t>1、评审工作结束，由采购人发布采购结果公告，结果公告地址同采购公告地址（www.cq9yuan.com）。</w:t>
      </w:r>
    </w:p>
    <w:p>
      <w:pPr>
        <w:pStyle w:val="31"/>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Ansi="宋体"/>
          <w:sz w:val="24"/>
        </w:rPr>
      </w:pPr>
      <w:r>
        <w:rPr>
          <w:rFonts w:hint="eastAsia" w:hAnsi="宋体"/>
          <w:sz w:val="24"/>
        </w:rPr>
        <w:t>2、公告内容包括招标项目名称和项目编号，采购人和采购人名称、地址、联系方式，拟成交供应商的情况（包含单位名称、成交价格）。</w:t>
      </w:r>
    </w:p>
    <w:p>
      <w:pPr>
        <w:pStyle w:val="31"/>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Ansi="宋体"/>
          <w:sz w:val="24"/>
        </w:rPr>
      </w:pPr>
      <w:r>
        <w:rPr>
          <w:rFonts w:hint="eastAsia" w:hAnsi="宋体"/>
          <w:sz w:val="24"/>
        </w:rPr>
        <w:t>3、如有供应商对评标结果提出质疑的，在质疑处理完毕后发出中标通知书。</w:t>
      </w:r>
    </w:p>
    <w:p>
      <w:pPr>
        <w:pStyle w:val="31"/>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Ansi="宋体"/>
          <w:sz w:val="24"/>
        </w:rPr>
      </w:pPr>
      <w:r>
        <w:rPr>
          <w:rFonts w:hint="eastAsia" w:hAnsi="宋体"/>
          <w:sz w:val="24"/>
        </w:rPr>
        <w:t>4、成交供应商变更</w:t>
      </w:r>
    </w:p>
    <w:p>
      <w:pPr>
        <w:pStyle w:val="31"/>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Ansi="宋体"/>
          <w:sz w:val="24"/>
        </w:rPr>
      </w:pPr>
      <w:r>
        <w:rPr>
          <w:rFonts w:hint="eastAsia" w:hAnsi="宋体"/>
          <w:sz w:val="24"/>
        </w:rPr>
        <w:t>4.1成交供应商拒绝与采购人签订合同的，采购人可以按照评审报告推荐的中标候选人名单排序，确定下一候选人为成交供应商，也可以重新开展政府采购活动。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sz w:val="24"/>
        </w:rPr>
        <w:t>4.2成交供应商无充分理由放弃的，采购人将会同采购代理机构把相关情况报财政部门，财政部门将根据相关规定对违规供应商进行处罚。</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 w:val="28"/>
          <w:szCs w:val="21"/>
        </w:rPr>
      </w:pPr>
      <w:bookmarkStart w:id="52" w:name="_Toc441065685"/>
      <w:bookmarkStart w:id="53" w:name="_Toc6182"/>
      <w:r>
        <w:rPr>
          <w:rFonts w:hint="eastAsia"/>
          <w:b/>
          <w:sz w:val="28"/>
          <w:szCs w:val="21"/>
        </w:rPr>
        <w:t>六、成交通知书</w:t>
      </w:r>
      <w:bookmarkEnd w:id="52"/>
      <w:bookmarkEnd w:id="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本项目不发成交通知书，公示期结束后无异议时，采购人直接通知拟中标人。</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 w:val="28"/>
          <w:szCs w:val="21"/>
        </w:rPr>
      </w:pPr>
      <w:bookmarkStart w:id="54" w:name="_Toc441065686"/>
      <w:bookmarkStart w:id="55" w:name="_Toc26864"/>
      <w:r>
        <w:rPr>
          <w:rFonts w:hint="eastAsia"/>
          <w:b/>
          <w:sz w:val="28"/>
          <w:szCs w:val="21"/>
        </w:rPr>
        <w:t>七、关于质疑和投诉</w:t>
      </w:r>
      <w:bookmarkEnd w:id="54"/>
      <w:bookmarkEnd w:id="55"/>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（一）质疑内容、时限</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1、供应商对成交结果有异议的，应当在成交结果发布之日起七个工作日内以书面形式向采购人提出质疑，并附相关证明材料。</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2、供应商对采购文件中供应商特定资格条件、技术质量和商务要求、评审标准及评审细则有异议的，应向采购人提出质疑。</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（二）质疑答复时限</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采购人在收到供应商书面质疑后七个工作日内，对质疑内容作出答复。</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（三）不予受理或暂缓受理</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1、质疑有下列情形之一的，不予受理：</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1.1质疑供应商参与了比选活动后，再对比选文件内容提出质疑的；</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1.2质疑超过有效期的；</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1.3对同一事项重复质疑的。</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2、质疑有下列情形之一的，应暂不受理并告知供应商补充材料。供应商及时补充材料的，应予受理；逾期未补充的，不予受理：</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2.1质疑书格式和内容不符合国家或重庆市相关规定的；</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2.2质疑书提供的依据或证明材料不全的；</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2.3质疑书副本数量不足的。</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（四）投诉</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1、供应商对采购人的答复不满意，或者采购人未在规定时间内答复的，可在答复期满后十五个工作日内按有关规定，向同级财政部门投诉。</w:t>
      </w:r>
    </w:p>
    <w:p>
      <w:pPr>
        <w:keepNext w:val="0"/>
        <w:keepLines w:val="0"/>
        <w:pageBreakBefore w:val="0"/>
        <w:widowControl w:val="0"/>
        <w:kinsoku/>
        <w:wordWrap/>
        <w:overflowPunct/>
        <w:topLinePunct w:val="0"/>
        <w:autoSpaceDE/>
        <w:autoSpaceDN/>
        <w:bidi w:val="0"/>
        <w:adjustRightInd/>
        <w:spacing w:line="360" w:lineRule="auto"/>
        <w:ind w:right="12" w:firstLine="480" w:firstLineChars="200"/>
        <w:textAlignment w:val="auto"/>
        <w:rPr>
          <w:rFonts w:ascii="宋体" w:hAnsi="宋体"/>
          <w:sz w:val="24"/>
        </w:rPr>
      </w:pPr>
      <w:r>
        <w:rPr>
          <w:rFonts w:hint="eastAsia" w:ascii="宋体" w:hAnsi="宋体"/>
          <w:sz w:val="24"/>
        </w:rPr>
        <w:t>2、在提出投诉时，应附送相关证明材料。投诉书及证明材料为外文的，应同时提供其中文译本；中文与外文意思不一致的，以中文为准。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 w:val="28"/>
          <w:szCs w:val="21"/>
        </w:rPr>
      </w:pPr>
      <w:bookmarkStart w:id="56" w:name="_Toc441065689"/>
      <w:bookmarkStart w:id="57" w:name="_Toc18433"/>
      <w:r>
        <w:rPr>
          <w:rFonts w:hint="eastAsia"/>
          <w:b/>
          <w:sz w:val="28"/>
          <w:szCs w:val="21"/>
        </w:rPr>
        <w:t>八、签订合同</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（一）采购人应当自成采购结果公示期结束之日起三十日内，按照比选文件和成交供应商响应文件的约定，与成交供应商签订书面合同。所签订的合同不得对比选文件和成交供应商响应文件作实质性修改。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（二）比选文件、成交供应商的响应文件及澄清文件等，均为签订采购合同的依据。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（三）合同生效条款由供需双方约定，法律、行政法规规定应当办理批准、登记等手续后生效的合同，依照其规定。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（四）合同应按照</w:t>
      </w:r>
      <w:r>
        <w:rPr>
          <w:rFonts w:hint="eastAsia" w:ascii="宋体" w:hAnsi="宋体"/>
          <w:b/>
          <w:bCs/>
          <w:sz w:val="24"/>
        </w:rPr>
        <w:t>本文件第五篇的内容签订、完善，未经采购人同意不得擅自更改</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（五）采购人要求成交供应商提供履约保证金的，应当在比选文件中予以约定。成交供应商履约完毕后，采购人应于</w:t>
      </w:r>
      <w:r>
        <w:rPr>
          <w:rFonts w:hint="eastAsia" w:ascii="宋体" w:hAnsi="宋体"/>
          <w:b/>
          <w:bCs/>
          <w:sz w:val="24"/>
        </w:rPr>
        <w:t>比选文件中约定的时间内</w:t>
      </w:r>
      <w:r>
        <w:rPr>
          <w:rFonts w:hint="eastAsia" w:ascii="宋体" w:hAnsi="宋体"/>
          <w:sz w:val="24"/>
        </w:rPr>
        <w:t>无息退还其履约保证金。</w:t>
      </w:r>
    </w:p>
    <w:p>
      <w:pPr>
        <w:spacing w:line="276" w:lineRule="auto"/>
        <w:ind w:right="12" w:firstLine="480"/>
        <w:rPr>
          <w:rFonts w:ascii="宋体" w:hAnsi="宋体"/>
          <w:sz w:val="24"/>
        </w:rPr>
      </w:pPr>
    </w:p>
    <w:p>
      <w:pPr>
        <w:pStyle w:val="2"/>
        <w:spacing w:before="0" w:beforeLines="0" w:after="0" w:afterLines="0" w:line="276" w:lineRule="auto"/>
        <w:rPr>
          <w:rFonts w:hint="eastAsia" w:ascii="宋体" w:hAnsi="宋体" w:eastAsia="宋体"/>
          <w:lang w:val="en-US" w:eastAsia="zh-CN"/>
        </w:rPr>
      </w:pPr>
      <w:r>
        <w:rPr>
          <w:rFonts w:ascii="宋体" w:hAnsi="宋体" w:eastAsia="宋体"/>
        </w:rPr>
        <w:br w:type="page"/>
      </w:r>
      <w:bookmarkStart w:id="58" w:name="_Toc240"/>
      <w:r>
        <w:rPr>
          <w:rFonts w:hint="eastAsia" w:ascii="宋体" w:hAnsi="宋体" w:eastAsia="宋体"/>
          <w:lang w:val="en-US" w:eastAsia="zh-CN"/>
        </w:rPr>
        <w:t>第五篇 合同</w:t>
      </w:r>
      <w:bookmarkEnd w:id="58"/>
    </w:p>
    <w:p>
      <w:pPr>
        <w:spacing w:line="440" w:lineRule="exact"/>
        <w:rPr>
          <w:rFonts w:ascii="宋体" w:hAnsi="宋体"/>
          <w:sz w:val="24"/>
          <w:szCs w:val="24"/>
        </w:rPr>
      </w:pPr>
    </w:p>
    <w:p>
      <w:pPr>
        <w:jc w:val="center"/>
        <w:rPr>
          <w:rFonts w:ascii="宋体" w:hAnsi="宋体"/>
          <w:sz w:val="36"/>
          <w:szCs w:val="36"/>
        </w:rPr>
      </w:pPr>
      <w:r>
        <w:rPr>
          <w:rFonts w:hint="eastAsia" w:ascii="宋体" w:hAnsi="宋体"/>
          <w:sz w:val="36"/>
          <w:szCs w:val="36"/>
        </w:rPr>
        <w:t>北碚区远程影像诊断系统维保合同</w:t>
      </w:r>
    </w:p>
    <w:p>
      <w:pPr>
        <w:jc w:val="center"/>
        <w:rPr>
          <w:rFonts w:ascii="宋体" w:hAnsi="宋体"/>
          <w:sz w:val="36"/>
          <w:szCs w:val="36"/>
        </w:rPr>
      </w:pPr>
      <w:r>
        <w:rPr>
          <w:rFonts w:hint="eastAsia" w:ascii="宋体" w:hAnsi="宋体"/>
          <w:sz w:val="36"/>
          <w:szCs w:val="36"/>
        </w:rPr>
        <w:t>（</w:t>
      </w:r>
      <w:r>
        <w:rPr>
          <w:rFonts w:hint="eastAsia" w:ascii="宋体" w:hAnsi="宋体"/>
          <w:sz w:val="24"/>
          <w:szCs w:val="24"/>
        </w:rPr>
        <w:t>项目编号：2022JYXX-</w:t>
      </w:r>
      <w:r>
        <w:rPr>
          <w:rFonts w:hint="eastAsia" w:ascii="宋体" w:hAnsi="宋体"/>
          <w:sz w:val="24"/>
          <w:szCs w:val="24"/>
          <w:lang w:val="en-US" w:eastAsia="zh-CN"/>
        </w:rPr>
        <w:t>17</w:t>
      </w:r>
      <w:r>
        <w:rPr>
          <w:rFonts w:hint="eastAsia" w:ascii="宋体" w:hAnsi="宋体"/>
          <w:sz w:val="36"/>
          <w:szCs w:val="36"/>
        </w:rPr>
        <w:t>）</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甲方：</w:t>
      </w:r>
      <w:r>
        <w:rPr>
          <w:rFonts w:hint="eastAsia" w:ascii="宋体" w:hAnsi="宋体"/>
          <w:sz w:val="24"/>
          <w:szCs w:val="24"/>
          <w:u w:val="single"/>
        </w:rPr>
        <w:t xml:space="preserve">  重庆市第九人民医院  </w:t>
      </w:r>
    </w:p>
    <w:p>
      <w:pPr>
        <w:rPr>
          <w:rFonts w:ascii="宋体" w:hAnsi="宋体"/>
          <w:sz w:val="24"/>
          <w:szCs w:val="24"/>
        </w:rPr>
      </w:pPr>
      <w:r>
        <w:rPr>
          <w:rFonts w:hint="eastAsia" w:ascii="宋体" w:hAnsi="宋体"/>
          <w:sz w:val="24"/>
          <w:szCs w:val="24"/>
        </w:rPr>
        <w:t>乙方：</w:t>
      </w:r>
      <w:r>
        <w:rPr>
          <w:rFonts w:hint="eastAsia" w:ascii="宋体" w:hAnsi="宋体"/>
          <w:sz w:val="24"/>
          <w:szCs w:val="24"/>
          <w:u w:val="single"/>
        </w:rPr>
        <w:t xml:space="preserve">                      </w:t>
      </w:r>
    </w:p>
    <w:p>
      <w:pPr>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根据《中华人民共和国民法典》和《中华人民共和国政府采购法》等有关规定。为保证所购的服务质量，明确双方的权利义务，甲乙双方在平等、自愿、协商一致的基础上，就有关事宜达成如下协议：</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59" w:name="_Toc13425"/>
      <w:r>
        <w:rPr>
          <w:rFonts w:hint="eastAsia"/>
          <w:b/>
          <w:sz w:val="28"/>
          <w:szCs w:val="28"/>
        </w:rPr>
        <w:t>第一条：合同范围</w:t>
      </w:r>
      <w:bookmarkEnd w:id="5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方正仿宋_GBK"/>
          <w:sz w:val="24"/>
          <w:szCs w:val="24"/>
        </w:rPr>
      </w:pPr>
      <w:r>
        <w:rPr>
          <w:rFonts w:hint="eastAsia" w:ascii="宋体" w:hAnsi="宋体" w:cs="方正仿宋_GBK"/>
          <w:sz w:val="24"/>
          <w:szCs w:val="24"/>
        </w:rPr>
        <w:t>1、项目名称：</w:t>
      </w:r>
      <w:r>
        <w:rPr>
          <w:rFonts w:hint="eastAsia" w:ascii="宋体" w:hAnsi="宋体"/>
          <w:sz w:val="24"/>
          <w:szCs w:val="24"/>
        </w:rPr>
        <w:t>北碚区远程影像诊断系统维保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cs="方正仿宋_GBK"/>
          <w:sz w:val="24"/>
          <w:szCs w:val="24"/>
        </w:rPr>
        <w:t>2、项</w:t>
      </w:r>
      <w:r>
        <w:rPr>
          <w:rFonts w:hint="eastAsia" w:ascii="宋体" w:hAnsi="宋体"/>
          <w:sz w:val="24"/>
          <w:szCs w:val="24"/>
        </w:rPr>
        <w:t>目范围或内容：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服务期：</w:t>
      </w:r>
      <w:r>
        <w:rPr>
          <w:rFonts w:hint="eastAsia" w:ascii="宋体" w:hAnsi="宋体"/>
          <w:sz w:val="24"/>
          <w:szCs w:val="24"/>
          <w:lang w:val="en-US" w:eastAsia="zh-CN"/>
        </w:rPr>
        <w:t xml:space="preserve"> </w:t>
      </w:r>
      <w:r>
        <w:rPr>
          <w:rFonts w:hint="eastAsia" w:ascii="宋体" w:hAnsi="宋体"/>
          <w:sz w:val="24"/>
          <w:szCs w:val="24"/>
        </w:rPr>
        <w:t>从</w:t>
      </w:r>
      <w:r>
        <w:rPr>
          <w:rFonts w:hint="eastAsia" w:ascii="宋体" w:hAnsi="宋体"/>
          <w:sz w:val="24"/>
          <w:szCs w:val="24"/>
          <w:lang w:val="en-US" w:eastAsia="zh-CN"/>
        </w:rPr>
        <w:t>签订合同</w:t>
      </w:r>
      <w:r>
        <w:rPr>
          <w:rFonts w:hint="eastAsia" w:ascii="宋体" w:hAnsi="宋体"/>
          <w:sz w:val="24"/>
          <w:szCs w:val="24"/>
        </w:rPr>
        <w:t>之日算起。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服务地点：所有使用北碚区远程影像诊断系统的医疗机构。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维保期（服务期）：</w:t>
      </w:r>
      <w:r>
        <w:rPr>
          <w:rFonts w:hint="eastAsia" w:ascii="宋体" w:hAnsi="宋体"/>
          <w:sz w:val="24"/>
          <w:szCs w:val="24"/>
          <w:lang w:val="en-US" w:eastAsia="zh-CN"/>
        </w:rPr>
        <w:t>3</w:t>
      </w:r>
      <w:r>
        <w:rPr>
          <w:rFonts w:hint="eastAsia" w:ascii="宋体" w:hAnsi="宋体"/>
          <w:sz w:val="24"/>
          <w:szCs w:val="24"/>
        </w:rPr>
        <w:t>年</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lang w:val="en-US" w:eastAsia="zh-CN"/>
        </w:rPr>
      </w:pPr>
      <w:bookmarkStart w:id="60" w:name="_Toc7411"/>
      <w:r>
        <w:rPr>
          <w:rFonts w:hint="eastAsia"/>
          <w:b/>
          <w:sz w:val="28"/>
          <w:szCs w:val="28"/>
          <w:lang w:val="en-US" w:eastAsia="zh-CN"/>
        </w:rPr>
        <w:t>第二条：结算与付款</w:t>
      </w:r>
      <w:bookmarkEnd w:id="60"/>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计费标准：本系统维护费由北碚区域影像中心会诊费中支出，具体由重庆市第九人民医院、北碚区卫健委及其下属医疗机构共同确定本系统维护费的计费标准和方式。</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付款方式：重庆市第九人民医院按前述计费标准每季度按实结算并付款一次。</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61" w:name="_Toc16528"/>
      <w:r>
        <w:rPr>
          <w:rFonts w:hint="eastAsia"/>
          <w:b/>
          <w:sz w:val="28"/>
          <w:szCs w:val="28"/>
        </w:rPr>
        <w:t>第</w:t>
      </w:r>
      <w:r>
        <w:rPr>
          <w:rFonts w:hint="eastAsia"/>
          <w:b/>
          <w:sz w:val="28"/>
          <w:szCs w:val="28"/>
          <w:lang w:val="en-US" w:eastAsia="zh-CN"/>
        </w:rPr>
        <w:t>三</w:t>
      </w:r>
      <w:r>
        <w:rPr>
          <w:rFonts w:hint="eastAsia"/>
          <w:b/>
          <w:sz w:val="28"/>
          <w:szCs w:val="28"/>
        </w:rPr>
        <w:t>条：合同期限与终止</w:t>
      </w:r>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方正仿宋_GBK"/>
          <w:sz w:val="24"/>
          <w:szCs w:val="24"/>
        </w:rPr>
      </w:pPr>
      <w:r>
        <w:rPr>
          <w:rFonts w:hint="eastAsia" w:ascii="宋体" w:hAnsi="宋体" w:cs="方正仿宋_GBK"/>
          <w:sz w:val="24"/>
          <w:szCs w:val="24"/>
        </w:rPr>
        <w:t>1、合同期限：从本合同生效之日起，直至质量保证期满且无争议或纠纷时止。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方正仿宋_GBK"/>
          <w:sz w:val="24"/>
          <w:szCs w:val="24"/>
        </w:rPr>
      </w:pPr>
      <w:r>
        <w:rPr>
          <w:rFonts w:hint="eastAsia" w:ascii="宋体" w:hAnsi="宋体" w:cs="方正仿宋_GBK"/>
          <w:sz w:val="24"/>
          <w:szCs w:val="24"/>
        </w:rPr>
        <w:t>2、合同的终止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方正仿宋_GBK"/>
          <w:sz w:val="24"/>
          <w:szCs w:val="24"/>
        </w:rPr>
      </w:pPr>
      <w:r>
        <w:rPr>
          <w:rFonts w:hint="eastAsia" w:ascii="宋体" w:hAnsi="宋体" w:cs="方正仿宋_GBK"/>
          <w:sz w:val="24"/>
          <w:szCs w:val="24"/>
        </w:rPr>
        <w:t>（1）合同期满，双方未续签的；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方正仿宋_GBK"/>
          <w:sz w:val="24"/>
          <w:szCs w:val="24"/>
        </w:rPr>
      </w:pPr>
      <w:r>
        <w:rPr>
          <w:rFonts w:hint="eastAsia" w:ascii="宋体" w:hAnsi="宋体" w:cs="方正仿宋_GBK"/>
          <w:sz w:val="24"/>
          <w:szCs w:val="24"/>
        </w:rPr>
        <w:t>（2）乙方服务能力丧失，致使服务无法正常进行的；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bCs/>
          <w:sz w:val="24"/>
          <w:szCs w:val="24"/>
        </w:rPr>
      </w:pPr>
      <w:r>
        <w:rPr>
          <w:rFonts w:hint="eastAsia" w:ascii="宋体" w:hAnsi="宋体" w:cs="方正仿宋_GBK"/>
          <w:sz w:val="24"/>
          <w:szCs w:val="24"/>
        </w:rPr>
        <w:t>（3）在履行合同过程中，乙方未按甲方要求或合同约定提供服务，可能造成项目延迟交付或验收，甲方有权立即终止合同，并按本合同第</w:t>
      </w:r>
      <w:r>
        <w:rPr>
          <w:rFonts w:hint="eastAsia" w:ascii="宋体" w:hAnsi="宋体" w:cs="方正仿宋_GBK"/>
          <w:sz w:val="24"/>
          <w:szCs w:val="24"/>
          <w:lang w:val="en-US" w:eastAsia="zh-CN"/>
        </w:rPr>
        <w:t>六</w:t>
      </w:r>
      <w:r>
        <w:rPr>
          <w:rFonts w:hint="eastAsia" w:ascii="宋体" w:hAnsi="宋体" w:cs="方正仿宋_GBK"/>
          <w:sz w:val="24"/>
          <w:szCs w:val="24"/>
        </w:rPr>
        <w:t>条处理。</w:t>
      </w:r>
      <w:r>
        <w:rPr>
          <w:rFonts w:hint="eastAsia" w:ascii="宋体" w:hAnsi="宋体"/>
          <w:b/>
          <w:bCs/>
          <w:sz w:val="24"/>
          <w:szCs w:val="24"/>
        </w:rPr>
        <w:t xml:space="preserve"> </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62" w:name="_Toc19386"/>
      <w:r>
        <w:rPr>
          <w:rFonts w:hint="eastAsia"/>
          <w:b/>
          <w:sz w:val="28"/>
          <w:szCs w:val="28"/>
        </w:rPr>
        <w:t>第</w:t>
      </w:r>
      <w:r>
        <w:rPr>
          <w:rFonts w:hint="eastAsia"/>
          <w:b/>
          <w:sz w:val="28"/>
          <w:szCs w:val="28"/>
          <w:lang w:val="en-US" w:eastAsia="zh-CN"/>
        </w:rPr>
        <w:t>四</w:t>
      </w:r>
      <w:r>
        <w:rPr>
          <w:rFonts w:hint="eastAsia"/>
          <w:b/>
          <w:sz w:val="28"/>
          <w:szCs w:val="28"/>
        </w:rPr>
        <w:t>条、维保要求</w:t>
      </w:r>
      <w:bookmarkEnd w:id="62"/>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lang w:val="en-US" w:eastAsia="zh-CN"/>
        </w:rPr>
        <w:t>一、</w:t>
      </w:r>
      <w:r>
        <w:rPr>
          <w:rFonts w:hint="eastAsia" w:ascii="宋体" w:hAnsi="宋体"/>
          <w:color w:val="auto"/>
          <w:sz w:val="28"/>
          <w:szCs w:val="28"/>
        </w:rPr>
        <w:t>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维保期间保障远程影像诊断服务器操作系统的正常运行，及时按照操作系统的补丁；操作系统的优化以及问题解决。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监测区域远程影像诊断服务器操作系统的工作日志；杀毒软件的定期杀毒和升级；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保障区域远程影像诊断服务器各功能服务系统的正常运行；影像服务系统出现问题的得到立即解决；保障区域远程影像诊断服务系统的补丁更新升级；服务系统的管理维护。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保障区域远程影像诊断系统各系统功能模块医生正常流畅使用开展远程业务。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协助医院区域远程工作流程制度的制定，管理制度的完善，运行记录文档的完善，故障分析文档的完善；维护操作文档的完善；医疗质量评估文档的完善。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保障医疗存储系统的正常运行；监控业务存储的运行情况和备份存储的备份情况；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监控记录业务和区域服务硬件故障提示和告警；对存储的性能进行监控；存储硬件出现问题需要及时维修；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不定时监控影像服务器硬盘运行状态；服务器CPU、内存、硬盘使用情况管理；服务器系统进程管理，保证最优方式开展远程服务；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每半年进行一次满意度调查作为工作指导；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每次维护作好服务记录、远程维护、远程电话、远程方式解决、用户投诉次数统计，年度上门运维现场处理次数记录；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每半年提交一次整体维保业务总结报告及工作改进报告；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质保期间中标人提供免费系统维护和升级服务、人员使用培训。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提供软件免费维护、升级、适应性修改。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提供7*24小时电话、网络、微信服务号等远程技术支持服务。如遇重大问题需现场处理乙方须在2小时内到达故障现场。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提供系统运行安全保障服务，提供系统数据安全保障服务。</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ascii="仿宋" w:hAnsi="仿宋" w:eastAsia="仿宋"/>
          <w:color w:val="auto"/>
          <w:szCs w:val="28"/>
        </w:rPr>
      </w:pPr>
      <w:r>
        <w:rPr>
          <w:rFonts w:hint="eastAsia" w:ascii="宋体" w:hAnsi="宋体"/>
          <w:color w:val="auto"/>
          <w:sz w:val="28"/>
          <w:szCs w:val="28"/>
          <w:lang w:val="en-US" w:eastAsia="zh-CN"/>
        </w:rPr>
        <w:t>二、</w:t>
      </w:r>
      <w:r>
        <w:rPr>
          <w:rFonts w:hint="eastAsia" w:ascii="宋体" w:hAnsi="宋体"/>
          <w:color w:val="auto"/>
          <w:sz w:val="28"/>
          <w:szCs w:val="28"/>
        </w:rPr>
        <w:t>响应级别</w:t>
      </w:r>
    </w:p>
    <w:tbl>
      <w:tblPr>
        <w:tblStyle w:val="58"/>
        <w:tblW w:w="0" w:type="auto"/>
        <w:jc w:val="center"/>
        <w:tblLayout w:type="fixed"/>
        <w:tblCellMar>
          <w:top w:w="0" w:type="dxa"/>
          <w:left w:w="108" w:type="dxa"/>
          <w:bottom w:w="0" w:type="dxa"/>
          <w:right w:w="108" w:type="dxa"/>
        </w:tblCellMar>
      </w:tblPr>
      <w:tblGrid>
        <w:gridCol w:w="4755"/>
        <w:gridCol w:w="2552"/>
        <w:gridCol w:w="1298"/>
      </w:tblGrid>
      <w:tr>
        <w:tblPrEx>
          <w:tblCellMar>
            <w:top w:w="0" w:type="dxa"/>
            <w:left w:w="108" w:type="dxa"/>
            <w:bottom w:w="0" w:type="dxa"/>
            <w:right w:w="108" w:type="dxa"/>
          </w:tblCellMar>
        </w:tblPrEx>
        <w:trPr>
          <w:trHeight w:val="315" w:hRule="atLeast"/>
          <w:jc w:val="center"/>
        </w:trPr>
        <w:tc>
          <w:tcPr>
            <w:tcW w:w="4755"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adjustRightInd w:val="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故障级别</w:t>
            </w:r>
          </w:p>
        </w:tc>
        <w:tc>
          <w:tcPr>
            <w:tcW w:w="2552" w:type="dxa"/>
            <w:tcBorders>
              <w:top w:val="single" w:color="auto" w:sz="4" w:space="0"/>
              <w:left w:val="nil"/>
              <w:bottom w:val="single" w:color="auto" w:sz="4" w:space="0"/>
              <w:right w:val="single" w:color="auto" w:sz="4" w:space="0"/>
            </w:tcBorders>
            <w:shd w:val="pct10" w:color="auto" w:fill="auto"/>
            <w:vAlign w:val="center"/>
          </w:tcPr>
          <w:p>
            <w:pPr>
              <w:widowControl/>
              <w:adjustRightInd w:val="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响应时间</w:t>
            </w:r>
          </w:p>
        </w:tc>
        <w:tc>
          <w:tcPr>
            <w:tcW w:w="1298" w:type="dxa"/>
            <w:tcBorders>
              <w:top w:val="single" w:color="auto" w:sz="4" w:space="0"/>
              <w:left w:val="nil"/>
              <w:bottom w:val="single" w:color="auto" w:sz="4" w:space="0"/>
              <w:right w:val="single" w:color="auto" w:sz="4" w:space="0"/>
            </w:tcBorders>
            <w:shd w:val="pct10" w:color="auto" w:fill="auto"/>
            <w:vAlign w:val="center"/>
          </w:tcPr>
          <w:p>
            <w:pPr>
              <w:widowControl/>
              <w:adjustRightInd w:val="0"/>
              <w:ind w:left="-126" w:leftChars="-4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故障解决时间</w:t>
            </w:r>
          </w:p>
        </w:tc>
      </w:tr>
      <w:tr>
        <w:tblPrEx>
          <w:tblCellMar>
            <w:top w:w="0" w:type="dxa"/>
            <w:left w:w="108" w:type="dxa"/>
            <w:bottom w:w="0" w:type="dxa"/>
            <w:right w:w="108" w:type="dxa"/>
          </w:tblCellMar>
        </w:tblPrEx>
        <w:trPr>
          <w:trHeight w:val="707" w:hRule="atLeast"/>
          <w:jc w:val="center"/>
        </w:trPr>
        <w:tc>
          <w:tcPr>
            <w:tcW w:w="4755" w:type="dxa"/>
            <w:tcBorders>
              <w:top w:val="nil"/>
              <w:left w:val="single" w:color="auto" w:sz="4" w:space="0"/>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b/>
                <w:color w:val="auto"/>
                <w:sz w:val="24"/>
                <w:szCs w:val="24"/>
              </w:rPr>
              <w:t>I级：</w:t>
            </w:r>
            <w:r>
              <w:rPr>
                <w:rFonts w:hint="eastAsia" w:ascii="宋体" w:hAnsi="宋体" w:eastAsia="宋体" w:cs="宋体"/>
                <w:color w:val="auto"/>
                <w:sz w:val="24"/>
                <w:szCs w:val="24"/>
              </w:rPr>
              <w:t>属于紧急问题；其具体现象为：系统崩溃导致业务停止、数据丢失。</w:t>
            </w:r>
          </w:p>
        </w:tc>
        <w:tc>
          <w:tcPr>
            <w:tcW w:w="2552" w:type="dxa"/>
            <w:tcBorders>
              <w:top w:val="nil"/>
              <w:left w:val="nil"/>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30分钟，1小时内提交故障处理方案2小时内到达故障现场</w:t>
            </w:r>
          </w:p>
        </w:tc>
        <w:tc>
          <w:tcPr>
            <w:tcW w:w="1298"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4小时以内</w:t>
            </w:r>
          </w:p>
        </w:tc>
      </w:tr>
      <w:tr>
        <w:tblPrEx>
          <w:tblCellMar>
            <w:top w:w="0" w:type="dxa"/>
            <w:left w:w="108" w:type="dxa"/>
            <w:bottom w:w="0" w:type="dxa"/>
            <w:right w:w="108" w:type="dxa"/>
          </w:tblCellMar>
        </w:tblPrEx>
        <w:trPr>
          <w:trHeight w:val="942" w:hRule="atLeast"/>
          <w:jc w:val="center"/>
        </w:trPr>
        <w:tc>
          <w:tcPr>
            <w:tcW w:w="4755" w:type="dxa"/>
            <w:tcBorders>
              <w:top w:val="nil"/>
              <w:left w:val="single" w:color="auto" w:sz="4" w:space="0"/>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b/>
                <w:color w:val="auto"/>
                <w:sz w:val="24"/>
                <w:szCs w:val="24"/>
              </w:rPr>
              <w:t>II级：</w:t>
            </w:r>
            <w:r>
              <w:rPr>
                <w:rFonts w:hint="eastAsia" w:ascii="宋体" w:hAnsi="宋体" w:eastAsia="宋体" w:cs="宋体"/>
                <w:color w:val="auto"/>
                <w:sz w:val="24"/>
                <w:szCs w:val="24"/>
              </w:rPr>
              <w:t>属于严重问题；其具体现象为：出现区域服务失效、系统性能下降但能正常运行，影响正常业务运作效率。</w:t>
            </w:r>
          </w:p>
        </w:tc>
        <w:tc>
          <w:tcPr>
            <w:tcW w:w="2552" w:type="dxa"/>
            <w:tcBorders>
              <w:top w:val="nil"/>
              <w:left w:val="nil"/>
              <w:bottom w:val="single" w:color="auto" w:sz="4" w:space="0"/>
              <w:right w:val="single" w:color="auto" w:sz="4" w:space="0"/>
            </w:tcBorders>
            <w:vAlign w:val="center"/>
          </w:tcPr>
          <w:p>
            <w:pPr>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30分钟，1小时内提交故障处理方案</w:t>
            </w:r>
          </w:p>
        </w:tc>
        <w:tc>
          <w:tcPr>
            <w:tcW w:w="1298"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8小时以内</w:t>
            </w:r>
          </w:p>
        </w:tc>
      </w:tr>
      <w:tr>
        <w:tblPrEx>
          <w:tblCellMar>
            <w:top w:w="0" w:type="dxa"/>
            <w:left w:w="108" w:type="dxa"/>
            <w:bottom w:w="0" w:type="dxa"/>
            <w:right w:w="108" w:type="dxa"/>
          </w:tblCellMar>
        </w:tblPrEx>
        <w:trPr>
          <w:trHeight w:val="912" w:hRule="atLeast"/>
          <w:jc w:val="center"/>
        </w:trPr>
        <w:tc>
          <w:tcPr>
            <w:tcW w:w="4755" w:type="dxa"/>
            <w:tcBorders>
              <w:top w:val="nil"/>
              <w:left w:val="single" w:color="auto" w:sz="4" w:space="0"/>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b/>
                <w:color w:val="auto"/>
                <w:sz w:val="24"/>
                <w:szCs w:val="24"/>
              </w:rPr>
              <w:t>III级：</w:t>
            </w:r>
            <w:r>
              <w:rPr>
                <w:rFonts w:hint="eastAsia" w:ascii="宋体" w:hAnsi="宋体" w:eastAsia="宋体" w:cs="宋体"/>
                <w:color w:val="auto"/>
                <w:sz w:val="24"/>
                <w:szCs w:val="24"/>
              </w:rPr>
              <w:t>属于较严重问题；其具体现象为：出现服务系统报错或警告，但业务系统能继续运行且性能不受影响。个别医院不能正常使用功能。</w:t>
            </w:r>
          </w:p>
        </w:tc>
        <w:tc>
          <w:tcPr>
            <w:tcW w:w="2552" w:type="dxa"/>
            <w:tcBorders>
              <w:top w:val="nil"/>
              <w:left w:val="nil"/>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30分钟，2小时内提交故障处理方案</w:t>
            </w:r>
          </w:p>
        </w:tc>
        <w:tc>
          <w:tcPr>
            <w:tcW w:w="1298"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12小时以内</w:t>
            </w:r>
          </w:p>
        </w:tc>
      </w:tr>
      <w:tr>
        <w:tblPrEx>
          <w:tblCellMar>
            <w:top w:w="0" w:type="dxa"/>
            <w:left w:w="108" w:type="dxa"/>
            <w:bottom w:w="0" w:type="dxa"/>
            <w:right w:w="108" w:type="dxa"/>
          </w:tblCellMar>
        </w:tblPrEx>
        <w:trPr>
          <w:trHeight w:val="302" w:hRule="atLeast"/>
          <w:jc w:val="center"/>
        </w:trPr>
        <w:tc>
          <w:tcPr>
            <w:tcW w:w="4755" w:type="dxa"/>
            <w:tcBorders>
              <w:top w:val="nil"/>
              <w:left w:val="single" w:color="auto" w:sz="4" w:space="0"/>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b/>
                <w:color w:val="auto"/>
                <w:sz w:val="24"/>
                <w:szCs w:val="24"/>
              </w:rPr>
              <w:t>I</w:t>
            </w:r>
            <w:r>
              <w:rPr>
                <w:rFonts w:hint="eastAsia" w:ascii="宋体" w:hAnsi="宋体" w:eastAsia="宋体" w:cs="宋体"/>
                <w:b/>
                <w:color w:val="auto"/>
                <w:sz w:val="24"/>
                <w:szCs w:val="24"/>
                <w:lang w:val="en-US" w:eastAsia="zh-CN"/>
              </w:rPr>
              <w:t>V</w:t>
            </w:r>
            <w:r>
              <w:rPr>
                <w:rFonts w:hint="eastAsia" w:ascii="宋体" w:hAnsi="宋体" w:eastAsia="宋体" w:cs="宋体"/>
                <w:b/>
                <w:color w:val="auto"/>
                <w:sz w:val="24"/>
                <w:szCs w:val="24"/>
              </w:rPr>
              <w:t>级：</w:t>
            </w:r>
            <w:r>
              <w:rPr>
                <w:rFonts w:hint="eastAsia" w:ascii="宋体" w:hAnsi="宋体" w:eastAsia="宋体" w:cs="宋体"/>
                <w:color w:val="auto"/>
                <w:sz w:val="24"/>
                <w:szCs w:val="24"/>
              </w:rPr>
              <w:t>属于普通问题；其具体现象为：系统技术功能、安装或配置咨询，个别功能应用不能正常使用。</w:t>
            </w:r>
          </w:p>
        </w:tc>
        <w:tc>
          <w:tcPr>
            <w:tcW w:w="2552" w:type="dxa"/>
            <w:tcBorders>
              <w:top w:val="nil"/>
              <w:left w:val="nil"/>
              <w:bottom w:val="single" w:color="auto" w:sz="4" w:space="0"/>
              <w:right w:val="single" w:color="auto" w:sz="4" w:space="0"/>
            </w:tcBorders>
            <w:vAlign w:val="center"/>
          </w:tcPr>
          <w:p>
            <w:pPr>
              <w:widowControl/>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30分钟，2小时内提交故障处理方案</w:t>
            </w:r>
          </w:p>
        </w:tc>
        <w:tc>
          <w:tcPr>
            <w:tcW w:w="1298" w:type="dxa"/>
            <w:tcBorders>
              <w:top w:val="nil"/>
              <w:left w:val="nil"/>
              <w:bottom w:val="single" w:color="auto" w:sz="4" w:space="0"/>
              <w:right w:val="single" w:color="auto" w:sz="4" w:space="0"/>
            </w:tcBorders>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48小时以内</w:t>
            </w:r>
          </w:p>
        </w:tc>
      </w:tr>
    </w:tbl>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lang w:val="en-US" w:eastAsia="zh-CN"/>
        </w:rPr>
        <w:t>三、</w:t>
      </w:r>
      <w:r>
        <w:rPr>
          <w:rFonts w:hint="eastAsia" w:ascii="宋体" w:hAnsi="宋体"/>
          <w:color w:val="auto"/>
          <w:sz w:val="28"/>
          <w:szCs w:val="28"/>
        </w:rPr>
        <w:t>维保安排</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（1）每月不少于2次公司技术人员现场巡视或远程巡视并做好记录并提交记录报告；</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（2）三个月不少于提交一次整体维护运行维护报告；</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（3）6个月内做一次应急演练；</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（4）每季度都要对医疗工作人员培训一次，每次培训时间不少于3个小时；</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）功能应用升级、修改应作好培训及指导；</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（6）公司必须指定2个以上技术人员电话7*24小时开机进行技术解答</w:t>
      </w:r>
      <w:r>
        <w:rPr>
          <w:rFonts w:hint="eastAsia" w:ascii="宋体" w:hAnsi="宋体" w:eastAsia="宋体" w:cs="宋体"/>
          <w:color w:val="auto"/>
          <w:sz w:val="24"/>
          <w:szCs w:val="24"/>
          <w:lang w:eastAsia="zh-CN"/>
        </w:rPr>
        <w:t>。</w:t>
      </w:r>
    </w:p>
    <w:p>
      <w:pPr>
        <w:pStyle w:val="4"/>
        <w:keepNext/>
        <w:keepLines/>
        <w:pageBreakBefore w:val="0"/>
        <w:widowControl w:val="0"/>
        <w:kinsoku/>
        <w:wordWrap/>
        <w:overflowPunct/>
        <w:topLinePunct w:val="0"/>
        <w:autoSpaceDE/>
        <w:autoSpaceDN/>
        <w:bidi w:val="0"/>
        <w:adjustRightInd/>
        <w:snapToGrid/>
        <w:spacing w:before="381" w:beforeLines="100" w:after="381" w:afterLines="100" w:line="360" w:lineRule="auto"/>
        <w:jc w:val="left"/>
        <w:textAlignment w:val="auto"/>
        <w:rPr>
          <w:rFonts w:hint="eastAsia" w:ascii="宋体" w:hAnsi="宋体"/>
          <w:color w:val="auto"/>
          <w:sz w:val="28"/>
          <w:szCs w:val="28"/>
        </w:rPr>
      </w:pPr>
      <w:r>
        <w:rPr>
          <w:rFonts w:hint="eastAsia" w:ascii="宋体" w:hAnsi="宋体"/>
          <w:color w:val="auto"/>
          <w:sz w:val="28"/>
          <w:szCs w:val="28"/>
          <w:lang w:val="en-US" w:eastAsia="zh-CN"/>
        </w:rPr>
        <w:t>四、</w:t>
      </w:r>
      <w:r>
        <w:rPr>
          <w:rFonts w:hint="eastAsia" w:ascii="宋体" w:hAnsi="宋体"/>
          <w:color w:val="auto"/>
          <w:sz w:val="28"/>
          <w:szCs w:val="28"/>
        </w:rPr>
        <w:t>功能升级</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■应用功能升级技术功能参数与合同功能参数及要求一致，性能指标达到规定的标准；</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■在维保程序升级后运行期间所出现的问题得到解决，并运行正常；</w:t>
      </w:r>
    </w:p>
    <w:p>
      <w:pPr>
        <w:pStyle w:val="2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■在规定时间内完成维保程序升级并验收，并经采购人确认；</w:t>
      </w:r>
    </w:p>
    <w:p>
      <w:pPr>
        <w:pStyle w:val="11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■提供完备的维保功能升级技术升级资料、软件升级配置手册、培训报告等程序文件</w:t>
      </w:r>
      <w:r>
        <w:rPr>
          <w:rFonts w:hint="eastAsia" w:ascii="宋体" w:hAnsi="宋体" w:cs="宋体"/>
          <w:color w:val="auto"/>
          <w:sz w:val="24"/>
          <w:szCs w:val="24"/>
          <w:lang w:eastAsia="zh-CN"/>
        </w:rPr>
        <w:t>。</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lang w:val="en-US" w:eastAsia="zh-CN"/>
        </w:rPr>
      </w:pPr>
      <w:bookmarkStart w:id="63" w:name="_Toc24550"/>
      <w:r>
        <w:rPr>
          <w:rFonts w:hint="eastAsia"/>
          <w:b/>
          <w:sz w:val="28"/>
          <w:szCs w:val="28"/>
          <w:lang w:val="en-US" w:eastAsia="zh-CN"/>
        </w:rPr>
        <w:t>第五条：双方权利和义务</w:t>
      </w:r>
      <w:bookmarkEnd w:id="6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（一）甲方权利、义务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1、甲方有权对项目进行全程跟踪和监督，并对乙方进行的服务进行考核。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2、协调乙方在提供服务过程相关的政府部门和单位。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3、一旦发现本项目可能延期交互或难以通过项目验收，有权立即终止合同，更换中标人、另行签订合同，以满足本项目的按期验收合格。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（二）乙方权利、义务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1、乙方可要求甲方按本合同规定按时足额付款。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2、乙方不得将服务项目委托给第三人；在履行合同过程中，必须接受甲方监督，满足质量、工期和保证合格验收要求。当可能延期交付或难以保证结果时，应同意甲方立即更换中标人。</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b/>
          <w:sz w:val="28"/>
          <w:szCs w:val="28"/>
        </w:rPr>
      </w:pPr>
      <w:bookmarkStart w:id="64" w:name="_Toc31575"/>
      <w:r>
        <w:rPr>
          <w:rFonts w:hint="eastAsia"/>
          <w:b/>
          <w:sz w:val="28"/>
          <w:szCs w:val="28"/>
        </w:rPr>
        <w:t>第</w:t>
      </w:r>
      <w:r>
        <w:rPr>
          <w:rFonts w:hint="eastAsia"/>
          <w:b/>
          <w:sz w:val="28"/>
          <w:szCs w:val="28"/>
          <w:lang w:val="en-US" w:eastAsia="zh-CN"/>
        </w:rPr>
        <w:t>六</w:t>
      </w:r>
      <w:r>
        <w:rPr>
          <w:rFonts w:hint="eastAsia"/>
          <w:b/>
          <w:sz w:val="28"/>
          <w:szCs w:val="28"/>
        </w:rPr>
        <w:t>条：争议及违约处理</w:t>
      </w:r>
      <w:bookmarkEnd w:id="6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本合同在签订或履行过程中发生争议，由甲乙双方协商解决，协商不成的，先按以下方式处理，待甲方针对本项目正式验收合格后，再另行向甲方所在地人民法院提起诉讼。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1、未能签订合同或在交付期内未能通过正式验收，甲方不退还履约保证金，且乙方按甲方</w:t>
      </w:r>
      <w:r>
        <w:rPr>
          <w:rFonts w:ascii="宋体" w:hAnsi="宋体"/>
          <w:sz w:val="24"/>
          <w:szCs w:val="24"/>
        </w:rPr>
        <w:t>损失</w:t>
      </w:r>
      <w:r>
        <w:rPr>
          <w:rFonts w:hint="eastAsia" w:ascii="宋体" w:hAnsi="宋体"/>
          <w:sz w:val="24"/>
          <w:szCs w:val="24"/>
        </w:rPr>
        <w:t>的</w:t>
      </w:r>
      <w:r>
        <w:rPr>
          <w:rFonts w:ascii="宋体" w:hAnsi="宋体"/>
          <w:sz w:val="24"/>
          <w:szCs w:val="24"/>
        </w:rPr>
        <w:t>13</w:t>
      </w:r>
      <w:r>
        <w:rPr>
          <w:rFonts w:hint="eastAsia" w:ascii="宋体" w:hAnsi="宋体"/>
          <w:sz w:val="24"/>
          <w:szCs w:val="24"/>
        </w:rPr>
        <w:t>0%向甲方支付违</w:t>
      </w:r>
      <w:r>
        <w:rPr>
          <w:rFonts w:ascii="宋体" w:hAnsi="宋体"/>
          <w:sz w:val="24"/>
          <w:szCs w:val="24"/>
        </w:rPr>
        <w:t>约金</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2、交付使用后的售后服务期间，因违约或重大过失给甲方造成对方经济损失的，乙方应按甲方</w:t>
      </w:r>
      <w:r>
        <w:rPr>
          <w:rFonts w:ascii="宋体" w:hAnsi="宋体"/>
          <w:sz w:val="24"/>
          <w:szCs w:val="24"/>
        </w:rPr>
        <w:t>损失</w:t>
      </w:r>
      <w:r>
        <w:rPr>
          <w:rFonts w:hint="eastAsia" w:ascii="宋体" w:hAnsi="宋体"/>
          <w:sz w:val="24"/>
          <w:szCs w:val="24"/>
        </w:rPr>
        <w:t>的</w:t>
      </w:r>
      <w:r>
        <w:rPr>
          <w:rFonts w:ascii="宋体" w:hAnsi="宋体"/>
          <w:sz w:val="24"/>
          <w:szCs w:val="24"/>
        </w:rPr>
        <w:t>13</w:t>
      </w:r>
      <w:r>
        <w:rPr>
          <w:rFonts w:hint="eastAsia" w:ascii="宋体" w:hAnsi="宋体"/>
          <w:sz w:val="24"/>
          <w:szCs w:val="24"/>
        </w:rPr>
        <w:t>0%向甲方进行赔偿。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3、本项目若存在未能按期签订合同、未按期交付使用或未能按期通过正式验收三种情形之一者，甲方应将乙方上报北碚区财政局纳入不诚信供应商黑名单；同时，为满足甲方项目工期及验收要求，甲方有权立即申请更换中标人或立即终止合同。</w:t>
      </w: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276" w:lineRule="auto"/>
        <w:textAlignment w:val="auto"/>
        <w:rPr>
          <w:rFonts w:hint="eastAsia" w:eastAsia="宋体"/>
          <w:b/>
          <w:sz w:val="28"/>
          <w:szCs w:val="28"/>
          <w:lang w:eastAsia="zh-CN"/>
        </w:rPr>
      </w:pPr>
      <w:bookmarkStart w:id="65" w:name="_Toc30297"/>
      <w:r>
        <w:rPr>
          <w:rFonts w:hint="eastAsia"/>
          <w:b/>
          <w:sz w:val="28"/>
          <w:szCs w:val="28"/>
        </w:rPr>
        <w:t>第</w:t>
      </w:r>
      <w:r>
        <w:rPr>
          <w:rFonts w:hint="eastAsia"/>
          <w:b/>
          <w:sz w:val="28"/>
          <w:szCs w:val="28"/>
          <w:lang w:val="en-US" w:eastAsia="zh-CN"/>
        </w:rPr>
        <w:t>七</w:t>
      </w:r>
      <w:r>
        <w:rPr>
          <w:rFonts w:hint="eastAsia"/>
          <w:b/>
          <w:sz w:val="28"/>
          <w:szCs w:val="28"/>
        </w:rPr>
        <w:t>条：其它</w:t>
      </w:r>
      <w:bookmarkEnd w:id="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1、招标文件及其补遗文件、投标文件及承诺是本合同不可分割的部分。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2、本协议一式肆份，甲乙双方各执</w:t>
      </w:r>
      <w:r>
        <w:rPr>
          <w:rFonts w:hint="eastAsia" w:ascii="宋体" w:hAnsi="宋体"/>
          <w:sz w:val="24"/>
          <w:szCs w:val="24"/>
          <w:lang w:val="en-US" w:eastAsia="zh-CN"/>
        </w:rPr>
        <w:t>贰</w:t>
      </w:r>
      <w:r>
        <w:rPr>
          <w:rFonts w:hint="eastAsia" w:ascii="宋体" w:hAnsi="宋体"/>
          <w:sz w:val="24"/>
          <w:szCs w:val="24"/>
        </w:rPr>
        <w:t>份，经双方签字盖章后之日起生效。</w:t>
      </w:r>
    </w:p>
    <w:p>
      <w:pPr>
        <w:ind w:firstLine="480" w:firstLineChars="200"/>
        <w:rPr>
          <w:rFonts w:ascii="宋体" w:hAnsi="宋体"/>
          <w:sz w:val="24"/>
          <w:szCs w:val="24"/>
        </w:rPr>
      </w:pPr>
    </w:p>
    <w:p>
      <w:pPr>
        <w:ind w:firstLine="480" w:firstLineChars="200"/>
        <w:rPr>
          <w:rFonts w:ascii="宋体" w:hAnsi="宋体"/>
          <w:sz w:val="24"/>
          <w:szCs w:val="24"/>
        </w:rPr>
      </w:pPr>
    </w:p>
    <w:p>
      <w:pPr>
        <w:rPr>
          <w:rFonts w:ascii="宋体" w:hAnsi="宋体"/>
          <w:sz w:val="24"/>
          <w:szCs w:val="24"/>
        </w:rPr>
      </w:pPr>
      <w:r>
        <w:rPr>
          <w:rFonts w:hint="eastAsia" w:ascii="宋体" w:hAnsi="宋体"/>
          <w:sz w:val="24"/>
          <w:szCs w:val="24"/>
        </w:rPr>
        <w:t>甲方 （公章）：                          乙方（公章）</w:t>
      </w:r>
      <w:r>
        <w:rPr>
          <w:rFonts w:hint="eastAsia" w:ascii="宋体" w:hAnsi="宋体"/>
          <w:sz w:val="24"/>
          <w:szCs w:val="24"/>
          <w:lang w:eastAsia="zh-CN"/>
        </w:rPr>
        <w:t>：</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lang w:val="en-US" w:eastAsia="zh-CN"/>
        </w:rPr>
        <w:t>法定</w:t>
      </w:r>
      <w:r>
        <w:rPr>
          <w:rFonts w:hint="eastAsia" w:ascii="宋体" w:hAnsi="宋体"/>
          <w:sz w:val="24"/>
          <w:szCs w:val="24"/>
        </w:rPr>
        <w:t>代表</w:t>
      </w:r>
      <w:r>
        <w:rPr>
          <w:rFonts w:hint="eastAsia" w:ascii="宋体" w:hAnsi="宋体"/>
          <w:sz w:val="24"/>
          <w:szCs w:val="24"/>
          <w:lang w:val="en-US" w:eastAsia="zh-CN"/>
        </w:rPr>
        <w:t>人</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r>
        <w:rPr>
          <w:rFonts w:hint="eastAsia" w:ascii="宋体" w:hAnsi="宋体"/>
          <w:sz w:val="24"/>
          <w:szCs w:val="24"/>
          <w:lang w:val="en-US" w:eastAsia="zh-CN"/>
        </w:rPr>
        <w:t>经办人</w:t>
      </w:r>
      <w:r>
        <w:rPr>
          <w:rFonts w:hint="eastAsia" w:ascii="宋体" w:hAnsi="宋体"/>
          <w:sz w:val="24"/>
          <w:szCs w:val="24"/>
        </w:rPr>
        <w:t>：</w:t>
      </w:r>
    </w:p>
    <w:p>
      <w:pPr>
        <w:rPr>
          <w:rFonts w:ascii="宋体" w:hAnsi="宋体"/>
          <w:sz w:val="24"/>
          <w:szCs w:val="24"/>
        </w:rPr>
      </w:pPr>
    </w:p>
    <w:p>
      <w:pPr>
        <w:rPr>
          <w:rFonts w:ascii="宋体" w:hAnsi="宋体"/>
          <w:sz w:val="24"/>
          <w:szCs w:val="24"/>
        </w:rPr>
      </w:pPr>
    </w:p>
    <w:p>
      <w:pPr>
        <w:spacing w:line="320" w:lineRule="exact"/>
        <w:jc w:val="left"/>
        <w:rPr>
          <w:rFonts w:ascii="宋体" w:hAnsi="宋体"/>
          <w:sz w:val="24"/>
          <w:szCs w:val="24"/>
        </w:rPr>
      </w:pPr>
      <w:r>
        <w:rPr>
          <w:rFonts w:hint="eastAsia" w:ascii="宋体" w:hAnsi="宋体"/>
          <w:sz w:val="24"/>
          <w:szCs w:val="24"/>
        </w:rPr>
        <w:t>开户行：建行北碚支行</w:t>
      </w:r>
    </w:p>
    <w:p>
      <w:pPr>
        <w:spacing w:line="320" w:lineRule="exact"/>
        <w:jc w:val="left"/>
        <w:rPr>
          <w:rFonts w:ascii="宋体" w:hAnsi="宋体"/>
          <w:sz w:val="24"/>
          <w:szCs w:val="24"/>
        </w:rPr>
      </w:pPr>
      <w:r>
        <w:rPr>
          <w:rFonts w:hint="eastAsia" w:ascii="宋体" w:hAnsi="宋体"/>
          <w:sz w:val="24"/>
          <w:szCs w:val="24"/>
        </w:rPr>
        <w:t>账号：</w:t>
      </w:r>
      <w:r>
        <w:rPr>
          <w:rFonts w:ascii="宋体" w:hAnsi="宋体"/>
          <w:sz w:val="24"/>
          <w:szCs w:val="24"/>
        </w:rPr>
        <w:t>5000 1093 6000 5001 2527</w:t>
      </w:r>
    </w:p>
    <w:p>
      <w:pPr>
        <w:rPr>
          <w:rFonts w:ascii="宋体" w:hAnsi="宋体"/>
          <w:sz w:val="24"/>
          <w:szCs w:val="24"/>
        </w:rPr>
      </w:pPr>
      <w:r>
        <w:rPr>
          <w:rFonts w:hint="eastAsia" w:ascii="宋体" w:hAnsi="宋体"/>
          <w:sz w:val="24"/>
          <w:szCs w:val="24"/>
        </w:rPr>
        <w:t>纳税人识别号：12500109450388583N</w:t>
      </w:r>
    </w:p>
    <w:p>
      <w:pPr>
        <w:rPr>
          <w:rFonts w:ascii="宋体" w:hAnsi="宋体"/>
          <w:sz w:val="24"/>
          <w:szCs w:val="24"/>
        </w:rPr>
      </w:pPr>
      <w:r>
        <w:rPr>
          <w:rFonts w:hint="eastAsia" w:ascii="宋体" w:hAnsi="宋体"/>
          <w:sz w:val="24"/>
          <w:szCs w:val="24"/>
        </w:rPr>
        <w:t xml:space="preserve">地址：重庆市北碚区嘉陵村69号          地址：               </w:t>
      </w:r>
    </w:p>
    <w:p>
      <w:pPr>
        <w:rPr>
          <w:rFonts w:ascii="宋体" w:hAnsi="宋体"/>
          <w:sz w:val="24"/>
          <w:szCs w:val="24"/>
        </w:rPr>
      </w:pPr>
      <w:r>
        <w:rPr>
          <w:rFonts w:hint="eastAsia" w:ascii="宋体" w:hAnsi="宋体"/>
          <w:sz w:val="24"/>
          <w:szCs w:val="24"/>
        </w:rPr>
        <w:t xml:space="preserve">电话：                                 电话：             </w:t>
      </w:r>
    </w:p>
    <w:p>
      <w:pPr>
        <w:rPr>
          <w:rFonts w:ascii="宋体" w:hAnsi="宋体"/>
          <w:sz w:val="24"/>
          <w:szCs w:val="24"/>
        </w:rPr>
      </w:pPr>
    </w:p>
    <w:p>
      <w:pPr>
        <w:rPr>
          <w:rFonts w:ascii="宋体" w:hAnsi="宋体"/>
          <w:sz w:val="24"/>
          <w:szCs w:val="24"/>
        </w:rPr>
      </w:pPr>
      <w:r>
        <w:rPr>
          <w:rFonts w:hint="eastAsia" w:ascii="宋体" w:hAnsi="宋体"/>
          <w:sz w:val="24"/>
          <w:szCs w:val="24"/>
        </w:rPr>
        <w:t>签约日期：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             签约日期：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rPr>
          <w:rFonts w:ascii="宋体" w:hAnsi="宋体"/>
          <w:sz w:val="24"/>
          <w:szCs w:val="24"/>
        </w:rPr>
      </w:pPr>
    </w:p>
    <w:p>
      <w:pPr>
        <w:pStyle w:val="2"/>
        <w:spacing w:before="0" w:beforeLines="0" w:after="0" w:afterLines="0" w:line="276" w:lineRule="auto"/>
        <w:rPr>
          <w:rFonts w:hint="eastAsia" w:ascii="宋体" w:hAnsi="宋体" w:eastAsia="宋体"/>
          <w:lang w:val="en-US" w:eastAsia="zh-CN"/>
        </w:rPr>
      </w:pPr>
      <w:bookmarkStart w:id="66" w:name="_Toc24004"/>
      <w:r>
        <w:rPr>
          <w:rFonts w:hint="eastAsia" w:ascii="宋体" w:hAnsi="宋体" w:eastAsia="宋体"/>
          <w:lang w:val="en-US" w:eastAsia="zh-CN"/>
        </w:rPr>
        <w:t>第六篇  响应文件格式</w:t>
      </w:r>
      <w:bookmarkEnd w:id="66"/>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rPr>
      </w:pPr>
      <w:r>
        <w:rPr>
          <w:rFonts w:hint="eastAsia" w:ascii="宋体" w:hAnsi="宋体"/>
          <w:b/>
          <w:sz w:val="24"/>
          <w:szCs w:val="24"/>
        </w:rPr>
        <w:t>一、资格文件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（一）营业执照（副本）或事业单位法人证书（副本）复印件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（二）组织机构代码证复印件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（三）竞争性比选参与函（格式）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（四）法定代表人身份证明书（格式）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（五）法定代表人授权委托书（格式）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（六）书面声明（格式）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（七）税务登记证（副本）复印件证明材料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（八）特定资格条件证书或证明文件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b/>
          <w:sz w:val="24"/>
          <w:szCs w:val="24"/>
        </w:rPr>
      </w:pPr>
      <w:r>
        <w:rPr>
          <w:rFonts w:hint="eastAsia" w:ascii="宋体" w:hAnsi="宋体"/>
          <w:sz w:val="24"/>
          <w:szCs w:val="24"/>
        </w:rPr>
        <w:t>说明：供应商按“三证合一”登记制度办理营业执照的，组织机构代码证和税务登记证以供应商所提供的法人营业执照（副本）复印件为准。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sz w:val="24"/>
          <w:szCs w:val="24"/>
        </w:rPr>
      </w:pPr>
      <w:r>
        <w:rPr>
          <w:rFonts w:hint="eastAsia" w:ascii="宋体" w:hAnsi="宋体"/>
          <w:b/>
          <w:sz w:val="24"/>
          <w:szCs w:val="24"/>
          <w:lang w:eastAsia="zh-CN"/>
        </w:rPr>
        <w:t>二</w:t>
      </w:r>
      <w:r>
        <w:rPr>
          <w:rFonts w:hint="eastAsia" w:ascii="宋体" w:hAnsi="宋体"/>
          <w:b/>
          <w:sz w:val="24"/>
          <w:szCs w:val="24"/>
        </w:rPr>
        <w:t>、服务响应文件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（一）服务具体方案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（二）商务承诺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（三）服务响应条款差异表</w:t>
      </w:r>
    </w:p>
    <w:p>
      <w:pPr>
        <w:keepNext w:val="0"/>
        <w:keepLines w:val="0"/>
        <w:pageBreakBefore w:val="0"/>
        <w:widowControl w:val="0"/>
        <w:tabs>
          <w:tab w:val="left" w:pos="1764"/>
        </w:tabs>
        <w:kinsoku/>
        <w:wordWrap/>
        <w:overflowPunct/>
        <w:topLinePunct w:val="0"/>
        <w:autoSpaceDE/>
        <w:autoSpaceDN/>
        <w:bidi w:val="0"/>
        <w:adjustRightInd/>
        <w:snapToGrid w:val="0"/>
        <w:spacing w:line="360" w:lineRule="auto"/>
        <w:textAlignment w:val="auto"/>
        <w:rPr>
          <w:rFonts w:ascii="宋体" w:hAnsi="宋体"/>
          <w:b/>
          <w:sz w:val="24"/>
          <w:szCs w:val="24"/>
        </w:rPr>
      </w:pPr>
      <w:r>
        <w:rPr>
          <w:rFonts w:hint="eastAsia" w:ascii="宋体" w:hAnsi="宋体"/>
          <w:b/>
          <w:sz w:val="24"/>
          <w:szCs w:val="24"/>
          <w:lang w:eastAsia="zh-CN"/>
        </w:rPr>
        <w:t>三</w:t>
      </w:r>
      <w:r>
        <w:rPr>
          <w:rFonts w:hint="eastAsia" w:ascii="宋体" w:hAnsi="宋体"/>
          <w:b/>
          <w:sz w:val="24"/>
          <w:szCs w:val="24"/>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（一）其他与项目有关的资料（自附）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（一）供应商中小微企业声明函、残疾人福利性单位声明函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bookmarkStart w:id="67" w:name="_Toc429584884"/>
      <w:bookmarkStart w:id="68" w:name="_Toc441065694"/>
      <w:bookmarkStart w:id="69" w:name="_Toc7395"/>
      <w:r>
        <w:rPr>
          <w:rFonts w:hint="eastAsia" w:ascii="宋体" w:hAnsi="宋体"/>
          <w:sz w:val="24"/>
          <w:szCs w:val="24"/>
        </w:rPr>
        <w:br w:type="page"/>
      </w:r>
    </w:p>
    <w:p>
      <w:pPr>
        <w:rPr>
          <w:rFonts w:hint="eastAsia"/>
          <w:b/>
          <w:szCs w:val="28"/>
        </w:rPr>
      </w:pP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 w:val="28"/>
          <w:szCs w:val="28"/>
        </w:rPr>
      </w:pPr>
      <w:r>
        <w:rPr>
          <w:rFonts w:hint="eastAsia"/>
          <w:b/>
          <w:szCs w:val="28"/>
        </w:rPr>
        <w:t>一、</w:t>
      </w:r>
      <w:bookmarkEnd w:id="67"/>
      <w:bookmarkEnd w:id="68"/>
      <w:bookmarkStart w:id="70" w:name="_Toc441065695"/>
      <w:bookmarkStart w:id="71" w:name="_Toc429584885"/>
      <w:r>
        <w:rPr>
          <w:rFonts w:hint="eastAsia"/>
          <w:b/>
          <w:sz w:val="28"/>
          <w:szCs w:val="28"/>
        </w:rPr>
        <w:t>资格文件</w:t>
      </w:r>
      <w:bookmarkEnd w:id="69"/>
      <w:bookmarkEnd w:id="70"/>
      <w:bookmarkEnd w:id="71"/>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ascii="宋体" w:hAnsi="宋体"/>
          <w:sz w:val="28"/>
          <w:szCs w:val="28"/>
        </w:rPr>
      </w:pPr>
      <w:r>
        <w:rPr>
          <w:rFonts w:hint="eastAsia" w:ascii="宋体" w:hAnsi="宋体"/>
          <w:sz w:val="28"/>
          <w:szCs w:val="28"/>
        </w:rPr>
        <w:t>（一）营业执照（副本）或事业单位法人证书（副本）复印件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ascii="宋体" w:hAnsi="宋体"/>
          <w:sz w:val="28"/>
          <w:szCs w:val="28"/>
        </w:rPr>
      </w:pPr>
      <w:r>
        <w:rPr>
          <w:rFonts w:hint="eastAsia" w:ascii="宋体" w:hAnsi="宋体"/>
          <w:sz w:val="28"/>
          <w:szCs w:val="28"/>
        </w:rPr>
        <w:t>（二）组织机构代码证复印件</w:t>
      </w:r>
    </w:p>
    <w:p>
      <w:pPr>
        <w:tabs>
          <w:tab w:val="left" w:pos="6300"/>
        </w:tabs>
        <w:snapToGrid w:val="0"/>
        <w:spacing w:line="276" w:lineRule="auto"/>
        <w:rPr>
          <w:rFonts w:ascii="宋体" w:hAnsi="宋体"/>
        </w:rPr>
      </w:pPr>
    </w:p>
    <w:p>
      <w:pPr>
        <w:snapToGrid w:val="0"/>
        <w:spacing w:before="120" w:beforeLines="50" w:line="276" w:lineRule="auto"/>
        <w:jc w:val="center"/>
        <w:rPr>
          <w:rFonts w:ascii="宋体" w:hAnsi="宋体"/>
          <w:szCs w:val="28"/>
        </w:rPr>
      </w:pPr>
      <w:r>
        <w:rPr>
          <w:rFonts w:hint="eastAsia" w:ascii="宋体" w:hAnsi="宋体"/>
        </w:rPr>
        <w:br w:type="page"/>
      </w:r>
      <w:r>
        <w:rPr>
          <w:rFonts w:hint="eastAsia" w:ascii="宋体" w:hAnsi="宋体"/>
          <w:szCs w:val="28"/>
        </w:rPr>
        <w:t>（三）竞争性比选参与函（格式）</w:t>
      </w:r>
    </w:p>
    <w:p>
      <w:pPr>
        <w:spacing w:line="276" w:lineRule="auto"/>
        <w:rPr>
          <w:rFonts w:ascii="宋体" w:hAnsi="宋体"/>
          <w:sz w:val="24"/>
          <w:szCs w:val="28"/>
        </w:rPr>
      </w:pPr>
    </w:p>
    <w:p>
      <w:pPr>
        <w:spacing w:line="276" w:lineRule="auto"/>
        <w:rPr>
          <w:rFonts w:ascii="宋体" w:hAnsi="宋体"/>
          <w:sz w:val="24"/>
          <w:szCs w:val="28"/>
          <w:u w:val="single"/>
        </w:rPr>
      </w:pPr>
      <w:r>
        <w:rPr>
          <w:rFonts w:hint="eastAsia" w:ascii="宋体" w:hAnsi="宋体"/>
          <w:sz w:val="24"/>
          <w:szCs w:val="28"/>
        </w:rPr>
        <w:t>项目名称：</w:t>
      </w:r>
      <w:r>
        <w:rPr>
          <w:rFonts w:hint="eastAsia" w:ascii="宋体" w:hAnsi="宋体"/>
          <w:sz w:val="24"/>
          <w:szCs w:val="28"/>
          <w:u w:val="single"/>
        </w:rPr>
        <w:t xml:space="preserve">                                             </w:t>
      </w:r>
    </w:p>
    <w:p>
      <w:pPr>
        <w:spacing w:line="276" w:lineRule="auto"/>
        <w:rPr>
          <w:rFonts w:ascii="宋体" w:hAnsi="宋体"/>
          <w:sz w:val="24"/>
          <w:szCs w:val="28"/>
        </w:rPr>
      </w:pPr>
    </w:p>
    <w:p>
      <w:pPr>
        <w:tabs>
          <w:tab w:val="left" w:pos="6300"/>
        </w:tabs>
        <w:snapToGrid w:val="0"/>
        <w:spacing w:line="276" w:lineRule="auto"/>
        <w:rPr>
          <w:rFonts w:ascii="宋体" w:hAnsi="宋体"/>
          <w:sz w:val="24"/>
          <w:szCs w:val="28"/>
        </w:rPr>
      </w:pPr>
      <w:r>
        <w:rPr>
          <w:rFonts w:hint="eastAsia" w:ascii="宋体" w:hAnsi="宋体"/>
          <w:sz w:val="24"/>
          <w:szCs w:val="28"/>
        </w:rPr>
        <w:t>致：</w:t>
      </w:r>
      <w:r>
        <w:rPr>
          <w:rFonts w:hint="eastAsia" w:ascii="宋体" w:hAnsi="宋体"/>
          <w:sz w:val="24"/>
          <w:szCs w:val="28"/>
          <w:u w:val="single"/>
        </w:rPr>
        <w:t xml:space="preserve">                    </w:t>
      </w:r>
      <w:r>
        <w:rPr>
          <w:rFonts w:hint="eastAsia" w:ascii="宋体" w:hAnsi="宋体"/>
          <w:sz w:val="24"/>
          <w:szCs w:val="28"/>
        </w:rPr>
        <w:t>（采购人名称）：</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ascii="宋体" w:hAnsi="宋体"/>
          <w:sz w:val="24"/>
          <w:szCs w:val="28"/>
        </w:rPr>
      </w:pPr>
      <w:r>
        <w:rPr>
          <w:rFonts w:hint="eastAsia" w:ascii="宋体" w:hAnsi="宋体"/>
          <w:sz w:val="24"/>
          <w:szCs w:val="28"/>
          <w:u w:val="single"/>
        </w:rPr>
        <w:t xml:space="preserve">                        </w:t>
      </w:r>
      <w:r>
        <w:rPr>
          <w:rFonts w:hint="eastAsia" w:ascii="宋体" w:hAnsi="宋体"/>
          <w:sz w:val="24"/>
          <w:szCs w:val="28"/>
        </w:rPr>
        <w:t>（供应商名称）系中华人民共和国合法企业，注册地址：</w:t>
      </w:r>
      <w:r>
        <w:rPr>
          <w:rFonts w:hint="eastAsia" w:ascii="宋体" w:hAnsi="宋体"/>
          <w:sz w:val="24"/>
          <w:szCs w:val="28"/>
          <w:u w:val="single"/>
        </w:rPr>
        <w:t xml:space="preserve">                               </w:t>
      </w:r>
      <w:r>
        <w:rPr>
          <w:rFonts w:hint="eastAsia" w:ascii="宋体" w:hAnsi="宋体"/>
          <w:sz w:val="24"/>
          <w:szCs w:val="28"/>
        </w:rPr>
        <w:t>。我方就参加本次参与比选有关事项郑重声明如下：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一、我方完全理解并接受该项目比选文件所有要求。</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二、我方提交的所有响应文件、资料都是准确和真实的，如有虚假或隐瞒，我方愿意承担一切法律责任。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三、我方承诺按照比选文件要求，提供项目的技术服务。</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四、我方按比选文件要求提交的响应文件为：响应文件正本1份，副本  份。</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五、我方承诺：本次提交响应文件有效期为90天。</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六、我方最后报价为闭口价。即在响应文件有效期和合同有效期内，该报价固定不变。</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七、如果我方中标，我方将履行比选文件中规定的各项要求以及我方响应文件的各项承诺，按《政府采购法》、《合同法》及合同约定条款承担我方责任。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八、我方未</w:t>
      </w:r>
      <w:r>
        <w:rPr>
          <w:rFonts w:hint="eastAsia" w:ascii="宋体" w:hAnsi="宋体"/>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九、我方理解，最低报价不是中标的唯一条件。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十、我方同意按有关规定及比选文件要求，缴纳足额投标保证金。</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8"/>
        </w:rPr>
      </w:pPr>
      <w:r>
        <w:rPr>
          <w:rFonts w:hint="eastAsia" w:ascii="宋体" w:hAnsi="宋体"/>
          <w:sz w:val="24"/>
          <w:szCs w:val="28"/>
        </w:rPr>
        <w:t>十一、我方同意按比选文件中标公示内容要求进行公示，自愿接受监督。</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8"/>
        </w:rPr>
      </w:pPr>
      <w:r>
        <w:rPr>
          <w:rFonts w:hint="eastAsia" w:ascii="宋体" w:hAnsi="宋体"/>
          <w:sz w:val="24"/>
          <w:szCs w:val="28"/>
        </w:rPr>
        <w:t>十二、我方保证不围标、不串标、不卖标、不转包、不违法分包、不接受挂靠，不允许他人以自己名义投标。</w:t>
      </w:r>
    </w:p>
    <w:p>
      <w:pPr>
        <w:bidi w:val="0"/>
        <w:rPr>
          <w:rFonts w:hint="eastAsia"/>
        </w:rPr>
      </w:pPr>
    </w:p>
    <w:p>
      <w:pPr>
        <w:rPr>
          <w:rFonts w:hint="eastAsia"/>
        </w:rPr>
      </w:pPr>
    </w:p>
    <w:p>
      <w:pPr>
        <w:bidi w:val="0"/>
      </w:pPr>
    </w:p>
    <w:p>
      <w:pPr>
        <w:bidi w:val="0"/>
      </w:pPr>
    </w:p>
    <w:p>
      <w:pPr>
        <w:rPr>
          <w:sz w:val="24"/>
          <w:szCs w:val="24"/>
        </w:rPr>
      </w:pPr>
    </w:p>
    <w:p>
      <w:pPr>
        <w:tabs>
          <w:tab w:val="left" w:pos="6300"/>
        </w:tabs>
        <w:snapToGrid w:val="0"/>
        <w:spacing w:line="276" w:lineRule="auto"/>
        <w:ind w:firstLine="5460" w:firstLineChars="2275"/>
        <w:rPr>
          <w:rFonts w:ascii="宋体" w:hAnsi="宋体"/>
          <w:sz w:val="24"/>
          <w:szCs w:val="24"/>
        </w:rPr>
      </w:pPr>
      <w:r>
        <w:rPr>
          <w:rFonts w:hint="eastAsia" w:ascii="宋体" w:hAnsi="宋体"/>
          <w:sz w:val="24"/>
          <w:szCs w:val="24"/>
        </w:rPr>
        <w:t>（供应商公章）</w:t>
      </w:r>
    </w:p>
    <w:p>
      <w:pPr>
        <w:tabs>
          <w:tab w:val="left" w:pos="6300"/>
        </w:tabs>
        <w:snapToGrid w:val="0"/>
        <w:spacing w:line="276" w:lineRule="auto"/>
        <w:ind w:firstLine="570"/>
        <w:rPr>
          <w:rFonts w:ascii="宋体" w:hAnsi="宋体"/>
          <w:sz w:val="24"/>
          <w:szCs w:val="24"/>
        </w:rPr>
      </w:pPr>
    </w:p>
    <w:p>
      <w:pPr>
        <w:tabs>
          <w:tab w:val="left" w:pos="6300"/>
        </w:tabs>
        <w:snapToGrid w:val="0"/>
        <w:spacing w:line="276" w:lineRule="auto"/>
        <w:ind w:firstLine="5760" w:firstLineChars="2400"/>
        <w:rPr>
          <w:rFonts w:ascii="宋体" w:hAnsi="宋体"/>
          <w:sz w:val="24"/>
          <w:szCs w:val="24"/>
        </w:rPr>
      </w:pPr>
      <w:r>
        <w:rPr>
          <w:rFonts w:hint="eastAsia" w:ascii="宋体" w:hAnsi="宋体"/>
          <w:sz w:val="24"/>
          <w:szCs w:val="24"/>
        </w:rPr>
        <w:t>年    月   日</w:t>
      </w:r>
    </w:p>
    <w:p>
      <w:pPr>
        <w:widowControl/>
        <w:spacing w:line="276" w:lineRule="auto"/>
        <w:ind w:firstLine="560" w:firstLineChars="200"/>
        <w:jc w:val="left"/>
        <w:rPr>
          <w:rFonts w:ascii="宋体" w:hAnsi="宋体"/>
        </w:rPr>
      </w:pPr>
    </w:p>
    <w:p>
      <w:pPr>
        <w:widowControl/>
        <w:spacing w:line="276" w:lineRule="auto"/>
        <w:ind w:firstLine="560" w:firstLineChars="200"/>
        <w:jc w:val="left"/>
        <w:rPr>
          <w:rFonts w:ascii="宋体" w:hAnsi="宋体"/>
        </w:rPr>
      </w:pPr>
    </w:p>
    <w:p>
      <w:pPr>
        <w:widowControl/>
        <w:spacing w:line="276" w:lineRule="auto"/>
        <w:ind w:firstLine="560" w:firstLineChars="200"/>
        <w:jc w:val="left"/>
        <w:rPr>
          <w:rFonts w:ascii="宋体" w:hAnsi="宋体"/>
        </w:rPr>
      </w:pPr>
    </w:p>
    <w:p>
      <w:pPr>
        <w:widowControl/>
        <w:spacing w:line="276" w:lineRule="auto"/>
        <w:jc w:val="both"/>
        <w:rPr>
          <w:rFonts w:ascii="宋体" w:hAnsi="宋体"/>
        </w:rPr>
      </w:pPr>
      <w:r>
        <w:rPr>
          <w:rFonts w:hint="eastAsia" w:ascii="宋体" w:hAnsi="宋体"/>
        </w:rPr>
        <w:br w:type="page"/>
      </w:r>
      <w:r>
        <w:rPr>
          <w:rFonts w:hint="eastAsia" w:ascii="宋体" w:hAnsi="宋体"/>
        </w:rPr>
        <w:t>（四）法定代表人身份证明书（格式）</w:t>
      </w:r>
    </w:p>
    <w:p>
      <w:pPr>
        <w:tabs>
          <w:tab w:val="left" w:pos="6300"/>
        </w:tabs>
        <w:snapToGrid w:val="0"/>
        <w:spacing w:line="276" w:lineRule="auto"/>
        <w:ind w:firstLine="570"/>
        <w:rPr>
          <w:rFonts w:ascii="宋体" w:hAnsi="宋体"/>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ascii="宋体" w:hAnsi="宋体"/>
          <w:sz w:val="24"/>
        </w:rPr>
      </w:pPr>
      <w:r>
        <w:rPr>
          <w:rFonts w:hint="eastAsia" w:ascii="宋体" w:hAnsi="宋体"/>
          <w:sz w:val="24"/>
        </w:rPr>
        <w:t>项目名称：</w:t>
      </w:r>
      <w:r>
        <w:rPr>
          <w:rFonts w:hint="eastAsia" w:ascii="宋体" w:hAnsi="宋体"/>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pPr>
        <w:bidi w:val="0"/>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特此证明。</w:t>
      </w: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bidi w:val="0"/>
      </w:pPr>
    </w:p>
    <w:p>
      <w:pPr>
        <w:tabs>
          <w:tab w:val="left" w:pos="6300"/>
        </w:tabs>
        <w:snapToGrid w:val="0"/>
        <w:spacing w:line="276" w:lineRule="auto"/>
        <w:ind w:firstLine="570"/>
        <w:rPr>
          <w:rFonts w:ascii="宋体" w:hAnsi="宋体"/>
          <w:sz w:val="24"/>
        </w:rPr>
      </w:pPr>
      <w:r>
        <w:rPr>
          <w:rFonts w:hint="eastAsia" w:ascii="宋体" w:hAnsi="宋体"/>
          <w:sz w:val="24"/>
        </w:rPr>
        <w:t xml:space="preserve">                                             （供应商公章）</w:t>
      </w: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 xml:space="preserve">                                             年   月   日</w:t>
      </w:r>
    </w:p>
    <w:p>
      <w:pPr>
        <w:bidi w:val="0"/>
        <w:rPr>
          <w:rFonts w:hint="eastAsia"/>
        </w:rPr>
      </w:pPr>
    </w:p>
    <w:p>
      <w:pPr>
        <w:tabs>
          <w:tab w:val="left" w:pos="6300"/>
        </w:tabs>
        <w:snapToGrid w:val="0"/>
        <w:spacing w:line="276" w:lineRule="auto"/>
        <w:rPr>
          <w:rFonts w:ascii="宋体" w:hAnsi="宋体"/>
          <w:sz w:val="24"/>
        </w:rPr>
      </w:pPr>
      <w:r>
        <w:rPr>
          <w:rFonts w:hint="eastAsia" w:ascii="宋体" w:hAnsi="宋体"/>
          <w:sz w:val="24"/>
        </w:rPr>
        <w:t>（附：法定代表人身份证正反面复印件）</w:t>
      </w: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rPr>
          <w:rFonts w:ascii="宋体" w:hAnsi="宋体"/>
        </w:rPr>
      </w:pPr>
    </w:p>
    <w:p>
      <w:pPr>
        <w:tabs>
          <w:tab w:val="left" w:pos="6300"/>
        </w:tabs>
        <w:snapToGrid w:val="0"/>
        <w:spacing w:line="276" w:lineRule="auto"/>
        <w:rPr>
          <w:rFonts w:ascii="宋体" w:hAnsi="宋体"/>
        </w:rPr>
      </w:pPr>
    </w:p>
    <w:p>
      <w:pPr>
        <w:tabs>
          <w:tab w:val="left" w:pos="6300"/>
        </w:tabs>
        <w:snapToGrid w:val="0"/>
        <w:spacing w:line="276" w:lineRule="auto"/>
        <w:rPr>
          <w:rFonts w:ascii="宋体" w:hAnsi="宋体"/>
        </w:rPr>
      </w:pPr>
    </w:p>
    <w:p>
      <w:pPr>
        <w:tabs>
          <w:tab w:val="left" w:pos="6300"/>
        </w:tabs>
        <w:snapToGrid w:val="0"/>
        <w:spacing w:line="276" w:lineRule="auto"/>
        <w:rPr>
          <w:rFonts w:ascii="宋体" w:hAnsi="宋体"/>
        </w:rPr>
      </w:pPr>
    </w:p>
    <w:p>
      <w:pPr>
        <w:tabs>
          <w:tab w:val="left" w:pos="6300"/>
        </w:tabs>
        <w:snapToGrid w:val="0"/>
        <w:spacing w:line="276" w:lineRule="auto"/>
        <w:rPr>
          <w:rFonts w:ascii="宋体" w:hAnsi="宋体"/>
        </w:rPr>
      </w:pPr>
    </w:p>
    <w:p>
      <w:pPr>
        <w:tabs>
          <w:tab w:val="left" w:pos="6300"/>
        </w:tabs>
        <w:snapToGrid w:val="0"/>
        <w:spacing w:line="276" w:lineRule="auto"/>
        <w:rPr>
          <w:rFonts w:ascii="宋体" w:hAnsi="宋体"/>
        </w:rPr>
      </w:pPr>
      <w:r>
        <w:rPr>
          <w:rFonts w:hint="eastAsia" w:ascii="宋体" w:hAnsi="宋体"/>
        </w:rPr>
        <w:br w:type="page"/>
      </w:r>
      <w:r>
        <w:rPr>
          <w:rFonts w:hint="eastAsia" w:ascii="宋体" w:hAnsi="宋体"/>
        </w:rPr>
        <w:t>（五）法定代表人授权委托书（格式）</w:t>
      </w:r>
    </w:p>
    <w:p>
      <w:pPr>
        <w:tabs>
          <w:tab w:val="left" w:pos="6300"/>
        </w:tabs>
        <w:snapToGrid w:val="0"/>
        <w:spacing w:line="276" w:lineRule="auto"/>
        <w:ind w:firstLine="570"/>
        <w:rPr>
          <w:rFonts w:ascii="宋体" w:hAnsi="宋体"/>
          <w:sz w:val="24"/>
        </w:rPr>
      </w:pPr>
      <w:r>
        <w:rPr>
          <w:rFonts w:hint="eastAsia" w:ascii="宋体" w:hAnsi="宋体"/>
          <w:sz w:val="24"/>
        </w:rPr>
        <w:t xml:space="preserve">    </w:t>
      </w:r>
    </w:p>
    <w:p>
      <w:pPr>
        <w:tabs>
          <w:tab w:val="left" w:pos="6300"/>
        </w:tabs>
        <w:snapToGrid w:val="0"/>
        <w:spacing w:line="276" w:lineRule="auto"/>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276" w:lineRule="auto"/>
        <w:ind w:firstLine="570"/>
        <w:rPr>
          <w:rFonts w:ascii="宋体" w:hAnsi="宋体"/>
          <w:sz w:val="24"/>
        </w:rPr>
      </w:pPr>
    </w:p>
    <w:p>
      <w:pPr>
        <w:tabs>
          <w:tab w:val="left" w:pos="6300"/>
        </w:tabs>
        <w:snapToGrid w:val="0"/>
        <w:spacing w:line="276"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pPr>
        <w:bidi w:val="0"/>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（被授权人姓名及身份证代码）代表我单位全权办理上述项目的比选、签约等具体工作，并签署全部有关文件、协议及合同。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r>
        <w:rPr>
          <w:rFonts w:hint="eastAsia" w:ascii="宋体" w:hAnsi="宋体"/>
          <w:sz w:val="24"/>
        </w:rPr>
        <w:t>被授权人：                                 供应商法定代表人：</w:t>
      </w:r>
    </w:p>
    <w:p>
      <w:pPr>
        <w:tabs>
          <w:tab w:val="left" w:pos="6300"/>
        </w:tabs>
        <w:snapToGrid w:val="0"/>
        <w:spacing w:line="276" w:lineRule="auto"/>
        <w:ind w:firstLine="570"/>
        <w:rPr>
          <w:rFonts w:ascii="宋体" w:hAnsi="宋体"/>
          <w:sz w:val="24"/>
          <w:szCs w:val="28"/>
        </w:rPr>
      </w:pPr>
      <w:r>
        <w:rPr>
          <w:rFonts w:hint="eastAsia" w:ascii="宋体" w:hAnsi="宋体"/>
          <w:sz w:val="24"/>
          <w:szCs w:val="28"/>
        </w:rPr>
        <w:t>（签字或盖章）                                （签字或盖章）</w:t>
      </w:r>
    </w:p>
    <w:p>
      <w:pPr>
        <w:tabs>
          <w:tab w:val="left" w:pos="6300"/>
        </w:tabs>
        <w:snapToGrid w:val="0"/>
        <w:spacing w:line="276" w:lineRule="auto"/>
        <w:ind w:firstLine="570"/>
        <w:rPr>
          <w:rFonts w:ascii="宋体" w:hAnsi="宋体"/>
          <w:sz w:val="24"/>
          <w:szCs w:val="28"/>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276" w:lineRule="auto"/>
        <w:ind w:firstLine="570"/>
        <w:rPr>
          <w:rFonts w:ascii="宋体" w:hAnsi="宋体"/>
          <w:sz w:val="24"/>
        </w:rPr>
      </w:pPr>
      <w:r>
        <w:rPr>
          <w:rFonts w:hint="eastAsia" w:ascii="宋体" w:hAnsi="宋体"/>
          <w:sz w:val="24"/>
        </w:rPr>
        <w:t xml:space="preserve">                                          </w:t>
      </w:r>
    </w:p>
    <w:p>
      <w:pPr>
        <w:tabs>
          <w:tab w:val="left" w:pos="6300"/>
        </w:tabs>
        <w:snapToGrid w:val="0"/>
        <w:spacing w:line="276" w:lineRule="auto"/>
        <w:ind w:firstLine="570"/>
        <w:rPr>
          <w:rFonts w:ascii="宋体" w:hAnsi="宋体"/>
          <w:sz w:val="24"/>
        </w:rPr>
      </w:pPr>
    </w:p>
    <w:p>
      <w:pPr>
        <w:tabs>
          <w:tab w:val="left" w:pos="6300"/>
        </w:tabs>
        <w:snapToGrid w:val="0"/>
        <w:spacing w:line="276" w:lineRule="auto"/>
        <w:ind w:firstLine="570"/>
        <w:rPr>
          <w:rFonts w:ascii="宋体" w:hAnsi="宋体"/>
          <w:sz w:val="24"/>
        </w:rPr>
      </w:pPr>
    </w:p>
    <w:p>
      <w:pPr>
        <w:tabs>
          <w:tab w:val="left" w:pos="6300"/>
        </w:tabs>
        <w:snapToGrid w:val="0"/>
        <w:spacing w:line="276" w:lineRule="auto"/>
        <w:ind w:right="480" w:firstLine="570"/>
        <w:jc w:val="right"/>
        <w:rPr>
          <w:rFonts w:ascii="宋体" w:hAnsi="宋体"/>
          <w:sz w:val="24"/>
        </w:rPr>
      </w:pPr>
      <w:r>
        <w:rPr>
          <w:rFonts w:hint="eastAsia" w:ascii="宋体" w:hAnsi="宋体"/>
          <w:sz w:val="24"/>
        </w:rPr>
        <w:t>（供应商公章）</w:t>
      </w:r>
    </w:p>
    <w:p>
      <w:pPr>
        <w:tabs>
          <w:tab w:val="left" w:pos="6300"/>
        </w:tabs>
        <w:snapToGrid w:val="0"/>
        <w:spacing w:line="276" w:lineRule="auto"/>
        <w:ind w:right="480" w:firstLine="570"/>
        <w:jc w:val="right"/>
        <w:rPr>
          <w:rFonts w:ascii="宋体" w:hAnsi="宋体"/>
          <w:sz w:val="24"/>
        </w:rPr>
      </w:pPr>
      <w:r>
        <w:rPr>
          <w:rFonts w:hint="eastAsia" w:ascii="宋体" w:hAnsi="宋体"/>
          <w:sz w:val="24"/>
        </w:rPr>
        <w:t>年   月   日</w:t>
      </w:r>
    </w:p>
    <w:p>
      <w:pPr>
        <w:tabs>
          <w:tab w:val="left" w:pos="6300"/>
        </w:tabs>
        <w:snapToGrid w:val="0"/>
        <w:spacing w:line="276" w:lineRule="auto"/>
        <w:rPr>
          <w:rFonts w:ascii="宋体" w:hAnsi="宋体"/>
        </w:rPr>
      </w:pPr>
    </w:p>
    <w:p>
      <w:pPr>
        <w:tabs>
          <w:tab w:val="left" w:pos="6300"/>
        </w:tabs>
        <w:snapToGrid w:val="0"/>
        <w:spacing w:line="276" w:lineRule="auto"/>
        <w:rPr>
          <w:rFonts w:ascii="宋体" w:hAnsi="宋体"/>
        </w:rPr>
      </w:pPr>
    </w:p>
    <w:p>
      <w:pPr>
        <w:tabs>
          <w:tab w:val="left" w:pos="6300"/>
        </w:tabs>
        <w:snapToGrid w:val="0"/>
        <w:spacing w:line="276" w:lineRule="auto"/>
        <w:rPr>
          <w:rFonts w:ascii="宋体" w:hAnsi="宋体"/>
        </w:rPr>
      </w:pPr>
    </w:p>
    <w:p>
      <w:pPr>
        <w:tabs>
          <w:tab w:val="left" w:pos="6300"/>
        </w:tabs>
        <w:snapToGrid w:val="0"/>
        <w:spacing w:line="276" w:lineRule="auto"/>
        <w:rPr>
          <w:rFonts w:ascii="宋体" w:hAnsi="宋体"/>
          <w:sz w:val="24"/>
        </w:rPr>
      </w:pPr>
      <w:r>
        <w:rPr>
          <w:rFonts w:hint="eastAsia" w:ascii="宋体" w:hAnsi="宋体"/>
        </w:rPr>
        <w:br w:type="column"/>
      </w:r>
      <w:r>
        <w:rPr>
          <w:rFonts w:hint="eastAsia" w:ascii="宋体" w:hAnsi="宋体"/>
        </w:rPr>
        <w:t>（六）书面声明</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ascii="宋体" w:hAnsi="宋体"/>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ascii="宋体" w:hAnsi="宋体"/>
          <w:sz w:val="21"/>
          <w:szCs w:val="21"/>
        </w:rPr>
      </w:pPr>
      <w:r>
        <w:rPr>
          <w:rFonts w:hint="eastAsia" w:ascii="宋体" w:hAnsi="宋体"/>
          <w:sz w:val="21"/>
          <w:szCs w:val="21"/>
        </w:rPr>
        <w:t>致：采购人</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投标人名称）郑重声明，我公司具有良好的商业信誉，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ascii="宋体" w:hAnsi="宋体"/>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ascii="宋体" w:hAnsi="宋体"/>
          <w:sz w:val="21"/>
          <w:szCs w:val="21"/>
        </w:rPr>
      </w:pPr>
      <w:r>
        <w:rPr>
          <w:rFonts w:hint="eastAsia" w:ascii="宋体" w:hAnsi="宋体"/>
          <w:sz w:val="21"/>
          <w:szCs w:val="21"/>
        </w:rPr>
        <w:t>特此声明。</w:t>
      </w:r>
    </w:p>
    <w:p>
      <w:pPr>
        <w:tabs>
          <w:tab w:val="left" w:pos="6300"/>
        </w:tabs>
        <w:snapToGrid w:val="0"/>
        <w:spacing w:line="276" w:lineRule="auto"/>
        <w:ind w:firstLine="570"/>
        <w:rPr>
          <w:rFonts w:ascii="宋体" w:hAnsi="宋体"/>
          <w:sz w:val="21"/>
          <w:szCs w:val="21"/>
        </w:rPr>
      </w:pPr>
    </w:p>
    <w:p>
      <w:pPr>
        <w:tabs>
          <w:tab w:val="left" w:pos="6300"/>
        </w:tabs>
        <w:snapToGrid w:val="0"/>
        <w:spacing w:line="276" w:lineRule="auto"/>
        <w:ind w:firstLine="570"/>
        <w:rPr>
          <w:rFonts w:ascii="宋体" w:hAnsi="宋体"/>
          <w:sz w:val="21"/>
          <w:szCs w:val="21"/>
        </w:rPr>
      </w:pPr>
    </w:p>
    <w:p>
      <w:pPr>
        <w:tabs>
          <w:tab w:val="left" w:pos="6300"/>
        </w:tabs>
        <w:snapToGrid w:val="0"/>
        <w:spacing w:line="276" w:lineRule="auto"/>
        <w:ind w:firstLine="570"/>
        <w:rPr>
          <w:rFonts w:ascii="宋体" w:hAnsi="宋体"/>
          <w:sz w:val="21"/>
          <w:szCs w:val="21"/>
        </w:rPr>
      </w:pPr>
    </w:p>
    <w:p>
      <w:pPr>
        <w:tabs>
          <w:tab w:val="left" w:pos="6300"/>
        </w:tabs>
        <w:snapToGrid w:val="0"/>
        <w:spacing w:line="276" w:lineRule="auto"/>
        <w:ind w:right="424" w:firstLine="570"/>
        <w:jc w:val="right"/>
        <w:rPr>
          <w:rFonts w:ascii="宋体" w:hAnsi="宋体"/>
          <w:sz w:val="21"/>
          <w:szCs w:val="21"/>
        </w:rPr>
      </w:pPr>
      <w:r>
        <w:rPr>
          <w:rFonts w:hint="eastAsia" w:ascii="宋体" w:hAnsi="宋体"/>
          <w:sz w:val="21"/>
          <w:szCs w:val="21"/>
        </w:rPr>
        <w:t>（投标人公章）</w:t>
      </w:r>
    </w:p>
    <w:p>
      <w:pPr>
        <w:tabs>
          <w:tab w:val="left" w:pos="6300"/>
        </w:tabs>
        <w:snapToGrid w:val="0"/>
        <w:spacing w:line="276" w:lineRule="auto"/>
        <w:ind w:right="480" w:firstLine="570"/>
        <w:jc w:val="right"/>
        <w:rPr>
          <w:rFonts w:hint="eastAsia" w:ascii="宋体" w:hAnsi="宋体"/>
          <w:sz w:val="21"/>
          <w:szCs w:val="21"/>
        </w:rPr>
      </w:pPr>
      <w:r>
        <w:rPr>
          <w:rFonts w:hint="eastAsia" w:ascii="宋体" w:hAnsi="宋体"/>
          <w:sz w:val="21"/>
          <w:szCs w:val="21"/>
        </w:rPr>
        <w:t>年   月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eastAsia="宋体"/>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pPr>
    </w:p>
    <w:p>
      <w:pPr>
        <w:bidi w:val="0"/>
      </w:pP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（七）税务登记证（副本）复印件证明材料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ascii="宋体" w:hAnsi="宋体"/>
        </w:rPr>
      </w:pPr>
      <w:r>
        <w:rPr>
          <w:rFonts w:hint="eastAsia" w:ascii="宋体" w:hAnsi="宋体"/>
        </w:rPr>
        <w:t>（八）特定资格条件证书或证明文件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说明：供应商按“三证合一”登记制度办理营业执照的，组织机构代码证和税务登记证以供应商所提供的营业执照（副本）复印件为准。</w:t>
      </w:r>
    </w:p>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Cs w:val="28"/>
        </w:rPr>
      </w:pPr>
      <w:bookmarkStart w:id="72" w:name="_Toc429584886"/>
      <w:bookmarkStart w:id="73" w:name="_Toc441065696"/>
      <w:bookmarkStart w:id="74" w:name="_Toc17237"/>
      <w:r>
        <w:rPr>
          <w:rFonts w:hint="eastAsia"/>
          <w:b/>
          <w:szCs w:val="28"/>
          <w:lang w:eastAsia="zh-CN"/>
        </w:rPr>
        <w:t>二</w:t>
      </w:r>
      <w:r>
        <w:rPr>
          <w:rFonts w:hint="eastAsia"/>
          <w:b/>
          <w:szCs w:val="28"/>
        </w:rPr>
        <w:t>、服务响应文件</w:t>
      </w:r>
      <w:bookmarkEnd w:id="72"/>
      <w:bookmarkEnd w:id="73"/>
      <w:bookmarkEnd w:id="74"/>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sz w:val="28"/>
          <w:szCs w:val="28"/>
        </w:rPr>
      </w:pPr>
      <w:r>
        <w:rPr>
          <w:rFonts w:hint="eastAsia" w:ascii="宋体" w:hAnsi="宋体"/>
          <w:sz w:val="28"/>
          <w:szCs w:val="28"/>
        </w:rPr>
        <w:t>（一）服务具体方案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宋体" w:hAnsi="宋体"/>
        </w:rPr>
      </w:pPr>
      <w:r>
        <w:rPr>
          <w:rFonts w:hint="eastAsia" w:ascii="宋体" w:hAnsi="宋体"/>
          <w:sz w:val="28"/>
          <w:szCs w:val="28"/>
        </w:rPr>
        <w:t xml:space="preserve"> 依据比选文件第二篇的服务具体要求，采购人自行制定服务具体方案。</w:t>
      </w:r>
      <w:r>
        <w:rPr>
          <w:rFonts w:hint="eastAsia" w:ascii="宋体" w:hAnsi="宋体"/>
          <w:szCs w:val="28"/>
        </w:rPr>
        <w:t>（二）商务承诺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rPr>
      </w:pPr>
      <w:r>
        <w:rPr>
          <w:rFonts w:hint="eastAsia" w:ascii="宋体" w:hAnsi="宋体"/>
        </w:rPr>
        <w:t>2.</w:t>
      </w:r>
      <w:r>
        <w:rPr>
          <w:rFonts w:hint="eastAsia" w:ascii="宋体" w:hAnsi="宋体"/>
          <w:lang w:val="en-US" w:eastAsia="zh-CN"/>
        </w:rPr>
        <w:t>1</w:t>
      </w:r>
      <w:r>
        <w:rPr>
          <w:rFonts w:hint="eastAsia" w:ascii="宋体" w:hAnsi="宋体"/>
        </w:rPr>
        <w:t>售后服务能力情况；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rPr>
      </w:pPr>
      <w:r>
        <w:rPr>
          <w:rFonts w:hint="eastAsia" w:ascii="宋体" w:hAnsi="宋体"/>
        </w:rPr>
        <w:t>2.</w:t>
      </w:r>
      <w:r>
        <w:rPr>
          <w:rFonts w:hint="eastAsia" w:ascii="宋体" w:hAnsi="宋体"/>
          <w:lang w:val="en-US" w:eastAsia="zh-CN"/>
        </w:rPr>
        <w:t>2</w:t>
      </w:r>
      <w:r>
        <w:rPr>
          <w:rFonts w:hint="eastAsia" w:ascii="宋体" w:hAnsi="宋体"/>
        </w:rPr>
        <w:t>培训；</w:t>
      </w:r>
    </w:p>
    <w:p>
      <w:pPr>
        <w:tabs>
          <w:tab w:val="left" w:pos="6300"/>
        </w:tabs>
        <w:snapToGrid w:val="0"/>
        <w:spacing w:line="276" w:lineRule="auto"/>
        <w:rPr>
          <w:rFonts w:hint="eastAsia" w:ascii="宋体" w:hAnsi="宋体" w:eastAsia="宋体"/>
          <w:sz w:val="24"/>
          <w:szCs w:val="24"/>
          <w:lang w:eastAsia="zh-CN"/>
        </w:rPr>
      </w:pPr>
      <w:r>
        <w:rPr>
          <w:rFonts w:hint="eastAsia" w:ascii="宋体" w:hAnsi="宋体"/>
          <w:lang w:val="en-US" w:eastAsia="zh-CN"/>
        </w:rPr>
        <w:t xml:space="preserve"> </w:t>
      </w:r>
    </w:p>
    <w:p>
      <w:pPr>
        <w:tabs>
          <w:tab w:val="left" w:pos="6300"/>
        </w:tabs>
        <w:snapToGrid w:val="0"/>
        <w:spacing w:line="276" w:lineRule="auto"/>
        <w:rPr>
          <w:rFonts w:ascii="宋体" w:hAnsi="宋体"/>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center"/>
        <w:textAlignment w:val="auto"/>
        <w:rPr>
          <w:rFonts w:ascii="宋体" w:hAnsi="宋体"/>
          <w:szCs w:val="24"/>
        </w:rPr>
      </w:pPr>
      <w:r>
        <w:rPr>
          <w:rFonts w:hint="eastAsia" w:ascii="宋体" w:hAnsi="宋体"/>
          <w:szCs w:val="24"/>
        </w:rPr>
        <w:br w:type="page"/>
      </w:r>
      <w:r>
        <w:rPr>
          <w:rFonts w:hint="eastAsia" w:ascii="宋体" w:hAnsi="宋体"/>
          <w:szCs w:val="24"/>
        </w:rPr>
        <w:t>（三）服务响应条款差异表</w:t>
      </w:r>
    </w:p>
    <w:p>
      <w:pPr>
        <w:spacing w:line="276" w:lineRule="auto"/>
        <w:ind w:firstLine="720" w:firstLineChars="3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spacing w:line="276" w:lineRule="auto"/>
              <w:jc w:val="center"/>
              <w:outlineLvl w:val="0"/>
              <w:rPr>
                <w:rFonts w:ascii="宋体" w:hAnsi="宋体"/>
                <w:sz w:val="21"/>
                <w:szCs w:val="21"/>
              </w:rPr>
            </w:pPr>
            <w:r>
              <w:rPr>
                <w:rFonts w:hint="eastAsia" w:ascii="宋体" w:hAnsi="宋体"/>
                <w:sz w:val="21"/>
                <w:szCs w:val="21"/>
              </w:rPr>
              <w:t>比选文件要求</w:t>
            </w:r>
          </w:p>
        </w:tc>
        <w:tc>
          <w:tcPr>
            <w:tcW w:w="2520" w:type="dxa"/>
            <w:vAlign w:val="center"/>
          </w:tcPr>
          <w:p>
            <w:pPr>
              <w:tabs>
                <w:tab w:val="left" w:pos="6300"/>
              </w:tabs>
              <w:snapToGrid w:val="0"/>
              <w:spacing w:line="276" w:lineRule="auto"/>
              <w:jc w:val="center"/>
              <w:outlineLvl w:val="0"/>
              <w:rPr>
                <w:rFonts w:ascii="宋体" w:hAnsi="宋体"/>
                <w:sz w:val="21"/>
                <w:szCs w:val="21"/>
              </w:rPr>
            </w:pPr>
            <w:r>
              <w:rPr>
                <w:rFonts w:hint="eastAsia" w:ascii="宋体" w:hAnsi="宋体"/>
                <w:sz w:val="21"/>
                <w:szCs w:val="21"/>
              </w:rPr>
              <w:t>应答情况</w:t>
            </w:r>
          </w:p>
        </w:tc>
        <w:tc>
          <w:tcPr>
            <w:tcW w:w="1888" w:type="dxa"/>
            <w:vAlign w:val="center"/>
          </w:tcPr>
          <w:p>
            <w:pPr>
              <w:tabs>
                <w:tab w:val="left" w:pos="6300"/>
              </w:tabs>
              <w:snapToGrid w:val="0"/>
              <w:spacing w:line="276" w:lineRule="auto"/>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276" w:lineRule="auto"/>
              <w:jc w:val="center"/>
              <w:outlineLvl w:val="0"/>
              <w:rPr>
                <w:rFonts w:ascii="宋体" w:hAnsi="宋体"/>
                <w:sz w:val="21"/>
                <w:szCs w:val="21"/>
              </w:rPr>
            </w:pPr>
          </w:p>
        </w:tc>
        <w:tc>
          <w:tcPr>
            <w:tcW w:w="2428" w:type="dxa"/>
            <w:vAlign w:val="center"/>
          </w:tcPr>
          <w:p>
            <w:pPr>
              <w:tabs>
                <w:tab w:val="left" w:pos="6300"/>
              </w:tabs>
              <w:snapToGrid w:val="0"/>
              <w:spacing w:line="276" w:lineRule="auto"/>
              <w:jc w:val="center"/>
              <w:outlineLvl w:val="0"/>
              <w:rPr>
                <w:rFonts w:ascii="宋体" w:hAnsi="宋体"/>
                <w:sz w:val="21"/>
                <w:szCs w:val="21"/>
              </w:rPr>
            </w:pPr>
          </w:p>
        </w:tc>
        <w:tc>
          <w:tcPr>
            <w:tcW w:w="2520" w:type="dxa"/>
            <w:vAlign w:val="center"/>
          </w:tcPr>
          <w:p>
            <w:pPr>
              <w:tabs>
                <w:tab w:val="left" w:pos="6300"/>
              </w:tabs>
              <w:snapToGrid w:val="0"/>
              <w:spacing w:line="276" w:lineRule="auto"/>
              <w:jc w:val="center"/>
              <w:outlineLvl w:val="0"/>
              <w:rPr>
                <w:rFonts w:ascii="宋体" w:hAnsi="宋体"/>
                <w:sz w:val="21"/>
                <w:szCs w:val="21"/>
              </w:rPr>
            </w:pPr>
          </w:p>
        </w:tc>
        <w:tc>
          <w:tcPr>
            <w:tcW w:w="1888" w:type="dxa"/>
            <w:vAlign w:val="center"/>
          </w:tcPr>
          <w:p>
            <w:pPr>
              <w:tabs>
                <w:tab w:val="left" w:pos="6300"/>
              </w:tabs>
              <w:snapToGrid w:val="0"/>
              <w:spacing w:line="276" w:lineRule="auto"/>
              <w:jc w:val="center"/>
              <w:outlineLvl w:val="0"/>
              <w:rPr>
                <w:rFonts w:ascii="宋体" w:hAnsi="宋体"/>
                <w:sz w:val="21"/>
                <w:szCs w:val="21"/>
              </w:rPr>
            </w:pPr>
          </w:p>
        </w:tc>
      </w:tr>
    </w:tbl>
    <w:p>
      <w:pPr>
        <w:spacing w:line="276" w:lineRule="auto"/>
        <w:ind w:firstLine="600" w:firstLineChars="250"/>
        <w:rPr>
          <w:rFonts w:ascii="宋体" w:hAnsi="宋体"/>
          <w:sz w:val="24"/>
          <w:szCs w:val="28"/>
        </w:rPr>
      </w:pPr>
      <w:r>
        <w:rPr>
          <w:rFonts w:hint="eastAsia" w:ascii="宋体" w:hAnsi="宋体"/>
          <w:sz w:val="24"/>
          <w:szCs w:val="28"/>
        </w:rPr>
        <w:t>供应商：                                  法定代表人授权代表：</w:t>
      </w:r>
    </w:p>
    <w:p>
      <w:pPr>
        <w:spacing w:line="276" w:lineRule="auto"/>
        <w:rPr>
          <w:rFonts w:ascii="宋体" w:hAnsi="宋体"/>
          <w:sz w:val="24"/>
          <w:szCs w:val="28"/>
        </w:rPr>
      </w:pPr>
      <w:r>
        <w:rPr>
          <w:rFonts w:hint="eastAsia" w:ascii="宋体" w:hAnsi="宋体"/>
          <w:sz w:val="24"/>
          <w:szCs w:val="28"/>
        </w:rPr>
        <w:t xml:space="preserve">    </w:t>
      </w:r>
    </w:p>
    <w:p>
      <w:pPr>
        <w:spacing w:line="276"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276" w:lineRule="auto"/>
        <w:ind w:firstLine="570"/>
        <w:rPr>
          <w:rFonts w:hint="eastAsia" w:ascii="宋体" w:hAnsi="宋体"/>
          <w:sz w:val="24"/>
          <w:szCs w:val="28"/>
        </w:rPr>
      </w:pPr>
      <w:r>
        <w:rPr>
          <w:rFonts w:hint="eastAsia" w:ascii="宋体" w:hAnsi="宋体"/>
          <w:sz w:val="24"/>
          <w:szCs w:val="28"/>
        </w:rPr>
        <w:t xml:space="preserve">                                            年     月     日</w:t>
      </w:r>
    </w:p>
    <w:p>
      <w:pPr>
        <w:bidi w:val="0"/>
        <w:rPr>
          <w:rFonts w:hint="eastAsia"/>
        </w:rPr>
      </w:pPr>
    </w:p>
    <w:p>
      <w:pPr>
        <w:bidi w:val="0"/>
      </w:pPr>
    </w:p>
    <w:p>
      <w:pPr>
        <w:bidi w:val="0"/>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1、本表即为对本项目“第二篇 项目具体要求 ”中所列要求进行比较和响应；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2、该表必须按照比选文件要求逐条如实填写，根据情况在“差异说明”项填写正偏离或负偏离及原因，完全符合的填写“无差异”；</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3、该表可扩展；</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rPr>
        <w:t>4、可附相关技术支撑材料。（格式自定）</w:t>
      </w:r>
    </w:p>
    <w:p>
      <w:pPr>
        <w:tabs>
          <w:tab w:val="left" w:pos="6300"/>
        </w:tabs>
        <w:snapToGrid w:val="0"/>
        <w:spacing w:line="276" w:lineRule="auto"/>
        <w:ind w:firstLine="570"/>
        <w:rPr>
          <w:rFonts w:ascii="宋体" w:hAnsi="宋体"/>
          <w:sz w:val="24"/>
          <w:szCs w:val="24"/>
        </w:rPr>
      </w:pPr>
    </w:p>
    <w:p>
      <w:pPr>
        <w:spacing w:line="276" w:lineRule="auto"/>
        <w:rPr>
          <w:rFonts w:ascii="宋体" w:hAnsi="宋体"/>
        </w:rPr>
      </w:pPr>
    </w:p>
    <w:p>
      <w:pPr>
        <w:spacing w:line="276" w:lineRule="auto"/>
        <w:rPr>
          <w:rFonts w:ascii="宋体" w:hAnsi="宋体"/>
        </w:rPr>
      </w:pPr>
    </w:p>
    <w:p>
      <w:pPr>
        <w:pStyle w:val="3"/>
        <w:keepNext/>
        <w:keepLines/>
        <w:pageBreakBefore w:val="0"/>
        <w:widowControl w:val="0"/>
        <w:kinsoku/>
        <w:wordWrap/>
        <w:overflowPunct/>
        <w:topLinePunct w:val="0"/>
        <w:autoSpaceDE/>
        <w:autoSpaceDN/>
        <w:bidi w:val="0"/>
        <w:adjustRightInd w:val="0"/>
        <w:snapToGrid w:val="0"/>
        <w:spacing w:before="381" w:beforeLines="100" w:after="381" w:afterLines="100" w:line="360" w:lineRule="auto"/>
        <w:textAlignment w:val="auto"/>
        <w:rPr>
          <w:rFonts w:hint="eastAsia"/>
          <w:b/>
          <w:szCs w:val="28"/>
        </w:rPr>
      </w:pPr>
      <w:bookmarkStart w:id="75" w:name="_Toc441065698"/>
      <w:bookmarkStart w:id="76" w:name="_Toc429584888"/>
      <w:bookmarkStart w:id="77" w:name="_Toc6338"/>
      <w:r>
        <w:rPr>
          <w:rFonts w:hint="eastAsia"/>
          <w:b/>
          <w:szCs w:val="28"/>
          <w:lang w:eastAsia="zh-CN"/>
        </w:rPr>
        <w:t>三</w:t>
      </w:r>
      <w:r>
        <w:rPr>
          <w:rFonts w:hint="eastAsia"/>
          <w:b/>
          <w:szCs w:val="28"/>
        </w:rPr>
        <w:t>、其他</w:t>
      </w:r>
      <w:bookmarkEnd w:id="75"/>
      <w:bookmarkEnd w:id="76"/>
      <w:bookmarkEnd w:id="77"/>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left"/>
        <w:textAlignment w:val="auto"/>
        <w:rPr>
          <w:rFonts w:ascii="宋体" w:hAnsi="宋体"/>
          <w:sz w:val="21"/>
          <w:szCs w:val="21"/>
        </w:rPr>
      </w:pPr>
      <w:r>
        <w:rPr>
          <w:rFonts w:hint="eastAsia" w:ascii="宋体" w:hAnsi="宋体"/>
          <w:sz w:val="21"/>
          <w:szCs w:val="21"/>
        </w:rPr>
        <w:t>（一）供应商中小微企业声明函、残疾人福利性单位声明函</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sz w:val="24"/>
          <w:szCs w:val="24"/>
        </w:rPr>
      </w:pPr>
      <w:r>
        <w:rPr>
          <w:rFonts w:hint="eastAsia" w:ascii="宋体" w:hAnsi="宋体"/>
          <w:sz w:val="24"/>
          <w:szCs w:val="24"/>
        </w:rPr>
        <w:t>1.中小微企业声明函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中小微企业声明函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u w:val="single"/>
        </w:rPr>
      </w:pPr>
      <w:r>
        <w:rPr>
          <w:rFonts w:hint="eastAsia" w:ascii="宋体" w:hAnsi="宋体"/>
          <w:sz w:val="24"/>
          <w:szCs w:val="24"/>
        </w:rPr>
        <w:t xml:space="preserve">项目名称: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 xml:space="preserve">致: </w:t>
      </w:r>
      <w:r>
        <w:rPr>
          <w:rFonts w:hint="eastAsia" w:ascii="宋体" w:hAnsi="宋体"/>
          <w:sz w:val="24"/>
          <w:szCs w:val="24"/>
          <w:u w:val="single"/>
        </w:rPr>
        <w:t xml:space="preserve">                                     </w:t>
      </w:r>
      <w:r>
        <w:rPr>
          <w:rFonts w:hint="eastAsia" w:ascii="宋体" w:hAnsi="宋体"/>
          <w:sz w:val="24"/>
          <w:szCs w:val="24"/>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本企业郑重声明，根据《政府采购促进中小企业发展暂行办法》(财库【2011】181号)的规定，本企业为</w:t>
      </w:r>
      <w:r>
        <w:rPr>
          <w:rFonts w:hint="eastAsia" w:ascii="宋体" w:hAnsi="宋体"/>
          <w:sz w:val="24"/>
          <w:szCs w:val="24"/>
          <w:u w:val="single"/>
        </w:rPr>
        <w:t xml:space="preserve">                 </w:t>
      </w:r>
      <w:r>
        <w:rPr>
          <w:rFonts w:hint="eastAsia" w:ascii="宋体" w:hAnsi="宋体"/>
          <w:sz w:val="24"/>
          <w:szCs w:val="24"/>
        </w:rPr>
        <w:t>(请填写:中型、小型、微型)企业。即，本企业同时满足以下条件: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1.根据《工业和信息化部 国家统计局 国家发展和改革委员会 财政部关于印发中小企业划型标准规定的通知》（工信部联企业【2011】300号)的划分标准，本企业为</w:t>
      </w:r>
      <w:r>
        <w:rPr>
          <w:rFonts w:hint="eastAsia" w:ascii="宋体" w:hAnsi="宋体"/>
          <w:sz w:val="24"/>
          <w:szCs w:val="24"/>
          <w:u w:val="single"/>
        </w:rPr>
        <w:t xml:space="preserve">                 </w:t>
      </w:r>
      <w:r>
        <w:rPr>
          <w:rFonts w:hint="eastAsia" w:ascii="宋体" w:hAnsi="宋体"/>
          <w:sz w:val="24"/>
          <w:szCs w:val="24"/>
        </w:rPr>
        <w:t>行业</w:t>
      </w:r>
      <w:r>
        <w:rPr>
          <w:rFonts w:hint="eastAsia" w:ascii="宋体" w:hAnsi="宋体"/>
          <w:sz w:val="24"/>
          <w:szCs w:val="24"/>
          <w:u w:val="single"/>
        </w:rPr>
        <w:t xml:space="preserve">            </w:t>
      </w:r>
      <w:r>
        <w:rPr>
          <w:rFonts w:hint="eastAsia" w:ascii="宋体" w:hAnsi="宋体"/>
          <w:sz w:val="24"/>
          <w:szCs w:val="24"/>
        </w:rPr>
        <w:t>(行业类别)的</w:t>
      </w:r>
      <w:r>
        <w:rPr>
          <w:rFonts w:hint="eastAsia" w:ascii="宋体" w:hAnsi="宋体"/>
          <w:sz w:val="24"/>
          <w:szCs w:val="24"/>
          <w:u w:val="single"/>
        </w:rPr>
        <w:t xml:space="preserve">               </w:t>
      </w:r>
      <w:r>
        <w:rPr>
          <w:rFonts w:hint="eastAsia" w:ascii="宋体" w:hAnsi="宋体"/>
          <w:sz w:val="24"/>
          <w:szCs w:val="24"/>
        </w:rPr>
        <w:t>(请填写:中型、小型、微型)企业。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2.本企业参加本项目提供本企业制造的货物、承担的工程或者服务，或者提供他小微企业制造的货物。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szCs w:val="24"/>
        </w:rPr>
      </w:pPr>
      <w:r>
        <w:rPr>
          <w:rFonts w:hint="eastAsia" w:ascii="宋体" w:hAnsi="宋体"/>
          <w:sz w:val="24"/>
          <w:szCs w:val="24"/>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625"/>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276" w:lineRule="auto"/>
              <w:rPr>
                <w:rFonts w:ascii="宋体" w:hAnsi="宋体"/>
                <w:sz w:val="24"/>
                <w:szCs w:val="24"/>
              </w:rPr>
            </w:pPr>
            <w:r>
              <w:rPr>
                <w:rFonts w:hint="eastAsia" w:ascii="宋体" w:hAnsi="宋体"/>
                <w:sz w:val="24"/>
                <w:szCs w:val="24"/>
              </w:rPr>
              <w:t>行业类别</w:t>
            </w:r>
          </w:p>
        </w:tc>
        <w:tc>
          <w:tcPr>
            <w:tcW w:w="2625" w:type="dxa"/>
          </w:tcPr>
          <w:p>
            <w:pPr>
              <w:spacing w:line="276" w:lineRule="auto"/>
              <w:rPr>
                <w:rFonts w:ascii="宋体" w:hAnsi="宋体"/>
                <w:sz w:val="24"/>
                <w:szCs w:val="24"/>
              </w:rPr>
            </w:pPr>
            <w:r>
              <w:rPr>
                <w:rFonts w:hint="eastAsia" w:ascii="宋体" w:hAnsi="宋体"/>
                <w:sz w:val="24"/>
                <w:szCs w:val="24"/>
              </w:rPr>
              <w:t>营业收入(万元)</w:t>
            </w:r>
          </w:p>
        </w:tc>
        <w:tc>
          <w:tcPr>
            <w:tcW w:w="4087" w:type="dxa"/>
          </w:tcPr>
          <w:p>
            <w:pPr>
              <w:spacing w:line="276" w:lineRule="auto"/>
              <w:rPr>
                <w:rFonts w:ascii="宋体" w:hAnsi="宋体"/>
                <w:sz w:val="24"/>
                <w:szCs w:val="24"/>
              </w:rPr>
            </w:pPr>
            <w:r>
              <w:rPr>
                <w:rFonts w:hint="eastAsia" w:ascii="宋体" w:hAnsi="宋体"/>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276" w:lineRule="auto"/>
              <w:rPr>
                <w:rFonts w:ascii="宋体" w:hAnsi="宋体"/>
                <w:sz w:val="24"/>
                <w:szCs w:val="24"/>
              </w:rPr>
            </w:pPr>
          </w:p>
        </w:tc>
        <w:tc>
          <w:tcPr>
            <w:tcW w:w="2625" w:type="dxa"/>
          </w:tcPr>
          <w:p>
            <w:pPr>
              <w:spacing w:line="276" w:lineRule="auto"/>
              <w:rPr>
                <w:rFonts w:ascii="宋体" w:hAnsi="宋体"/>
                <w:sz w:val="24"/>
                <w:szCs w:val="24"/>
              </w:rPr>
            </w:pPr>
          </w:p>
        </w:tc>
        <w:tc>
          <w:tcPr>
            <w:tcW w:w="4087" w:type="dxa"/>
          </w:tcPr>
          <w:p>
            <w:pPr>
              <w:spacing w:line="276" w:lineRule="auto"/>
              <w:rPr>
                <w:rFonts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本企业对上述声明的真实性负责。如有虚假，将依法承担相应责任。</w:t>
      </w:r>
    </w:p>
    <w:p>
      <w:pPr>
        <w:spacing w:line="276" w:lineRule="auto"/>
        <w:rPr>
          <w:rFonts w:ascii="宋体" w:hAnsi="宋体"/>
          <w:sz w:val="24"/>
          <w:szCs w:val="24"/>
        </w:rPr>
      </w:pPr>
    </w:p>
    <w:p>
      <w:pPr>
        <w:spacing w:line="276" w:lineRule="auto"/>
        <w:ind w:firstLine="4560" w:firstLineChars="1900"/>
        <w:rPr>
          <w:rFonts w:ascii="宋体" w:hAnsi="宋体"/>
          <w:sz w:val="24"/>
          <w:szCs w:val="24"/>
        </w:rPr>
      </w:pPr>
      <w:r>
        <w:rPr>
          <w:rFonts w:hint="eastAsia" w:ascii="宋体" w:hAnsi="宋体"/>
          <w:sz w:val="24"/>
          <w:szCs w:val="24"/>
        </w:rPr>
        <w:t>供应商名称(公章)：</w:t>
      </w:r>
    </w:p>
    <w:p>
      <w:pPr>
        <w:spacing w:line="276" w:lineRule="auto"/>
        <w:ind w:firstLine="5040" w:firstLineChars="2100"/>
        <w:rPr>
          <w:rFonts w:hint="eastAsia" w:ascii="宋体" w:hAnsi="宋体"/>
          <w:sz w:val="24"/>
          <w:szCs w:val="24"/>
        </w:rPr>
      </w:pPr>
      <w:r>
        <w:rPr>
          <w:rFonts w:hint="eastAsia" w:ascii="宋体" w:hAnsi="宋体"/>
          <w:sz w:val="24"/>
          <w:szCs w:val="24"/>
        </w:rPr>
        <w:t>年  月  日</w:t>
      </w:r>
    </w:p>
    <w:p>
      <w:pPr>
        <w:bidi w:val="0"/>
        <w:rPr>
          <w:rFonts w:hint="eastAsia"/>
        </w:rPr>
      </w:pPr>
    </w:p>
    <w:p>
      <w:pPr>
        <w:spacing w:line="276" w:lineRule="auto"/>
        <w:rPr>
          <w:rFonts w:ascii="宋体" w:hAnsi="宋体"/>
          <w:sz w:val="24"/>
          <w:szCs w:val="24"/>
        </w:rPr>
      </w:pPr>
      <w:r>
        <w:rPr>
          <w:rFonts w:hint="eastAsia" w:ascii="宋体" w:hAnsi="宋体"/>
          <w:sz w:val="24"/>
          <w:szCs w:val="24"/>
        </w:rPr>
        <w:t>填写《企业基本情况表》时，应注意以下事项:</w:t>
      </w:r>
    </w:p>
    <w:p>
      <w:pPr>
        <w:spacing w:line="276" w:lineRule="auto"/>
        <w:rPr>
          <w:rFonts w:ascii="宋体" w:hAnsi="宋体"/>
          <w:sz w:val="24"/>
          <w:szCs w:val="24"/>
        </w:rPr>
      </w:pPr>
      <w:r>
        <w:rPr>
          <w:rFonts w:hint="eastAsia" w:ascii="宋体" w:hAnsi="宋体"/>
          <w:sz w:val="24"/>
          <w:szCs w:val="24"/>
        </w:rPr>
        <w:t>1.除建筑业、房地产开发经营、租赁和商务服务业三个行业</w:t>
      </w:r>
    </w:p>
    <w:p>
      <w:pPr>
        <w:spacing w:line="276" w:lineRule="auto"/>
        <w:rPr>
          <w:rFonts w:ascii="宋体" w:hAnsi="宋体"/>
          <w:sz w:val="24"/>
          <w:szCs w:val="24"/>
        </w:rPr>
      </w:pPr>
      <w:r>
        <w:rPr>
          <w:rFonts w:hint="eastAsia" w:ascii="宋体" w:hAnsi="宋体"/>
          <w:sz w:val="24"/>
          <w:szCs w:val="24"/>
        </w:rPr>
        <w:t>外，其余行业无需填写资产总额项。</w:t>
      </w:r>
    </w:p>
    <w:p>
      <w:pPr>
        <w:spacing w:line="276" w:lineRule="auto"/>
        <w:rPr>
          <w:rFonts w:ascii="宋体" w:hAnsi="宋体"/>
          <w:sz w:val="24"/>
          <w:szCs w:val="24"/>
        </w:rPr>
      </w:pPr>
      <w:r>
        <w:rPr>
          <w:rFonts w:hint="eastAsia" w:ascii="宋体" w:hAnsi="宋体"/>
          <w:sz w:val="24"/>
          <w:szCs w:val="24"/>
        </w:rPr>
        <w:t>2.农、林、牧、渔业无需填写从业人员和资产总额项。</w:t>
      </w:r>
    </w:p>
    <w:p>
      <w:pPr>
        <w:spacing w:line="276" w:lineRule="auto"/>
        <w:rPr>
          <w:rFonts w:ascii="宋体" w:hAnsi="宋体"/>
          <w:sz w:val="24"/>
          <w:szCs w:val="24"/>
        </w:rPr>
      </w:pPr>
      <w:r>
        <w:rPr>
          <w:rFonts w:hint="eastAsia" w:ascii="宋体" w:hAnsi="宋体"/>
          <w:sz w:val="24"/>
          <w:szCs w:val="24"/>
        </w:rPr>
        <w:t>3.小微企业投标(供应)的产品若涉及到其他企业制造且符合扶持小微企业政策的，还需提供所涉及的其他企业的《中小微企业声明函》，否则将不被认定为小微企业。</w:t>
      </w:r>
    </w:p>
    <w:p>
      <w:pPr>
        <w:spacing w:line="276" w:lineRule="auto"/>
        <w:rPr>
          <w:rFonts w:ascii="宋体" w:hAnsi="宋体"/>
        </w:rPr>
      </w:pPr>
    </w:p>
    <w:p>
      <w:pPr>
        <w:bidi w:val="0"/>
      </w:pPr>
    </w:p>
    <w:p>
      <w:pPr>
        <w:bidi w:val="0"/>
      </w:pPr>
    </w:p>
    <w:p>
      <w:pPr>
        <w:bidi w:val="0"/>
      </w:pPr>
    </w:p>
    <w:p>
      <w:pPr>
        <w:bidi w:val="0"/>
      </w:pPr>
    </w:p>
    <w:p>
      <w:pPr>
        <w:bidi w:val="0"/>
      </w:pPr>
    </w:p>
    <w:p>
      <w:pPr>
        <w:spacing w:line="276" w:lineRule="auto"/>
        <w:rPr>
          <w:rFonts w:ascii="宋体" w:hAnsi="宋体"/>
          <w:sz w:val="24"/>
          <w:szCs w:val="24"/>
        </w:rPr>
      </w:pPr>
      <w:r>
        <w:rPr>
          <w:rFonts w:hint="eastAsia" w:ascii="宋体" w:hAnsi="宋体"/>
          <w:sz w:val="24"/>
          <w:szCs w:val="24"/>
        </w:rPr>
        <w:t>2.残疾人福利性单位声明函</w:t>
      </w:r>
    </w:p>
    <w:p>
      <w:pPr>
        <w:tabs>
          <w:tab w:val="left" w:pos="6300"/>
        </w:tabs>
        <w:snapToGrid w:val="0"/>
        <w:spacing w:line="276" w:lineRule="auto"/>
        <w:ind w:firstLine="420" w:firstLineChars="200"/>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before="381" w:beforeLines="100" w:after="381" w:afterLines="100" w:line="360" w:lineRule="auto"/>
        <w:jc w:val="center"/>
        <w:textAlignment w:val="auto"/>
        <w:rPr>
          <w:rFonts w:hint="eastAsia"/>
        </w:rPr>
      </w:pPr>
      <w:r>
        <w:rPr>
          <w:rFonts w:hint="eastAsia"/>
        </w:rPr>
        <w:t>残疾人福利性单位声明函</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本单位对上述声明的真实性负责。如有虚假，将依法承担相应责任。</w:t>
      </w:r>
    </w:p>
    <w:p>
      <w:pPr>
        <w:bidi w:val="0"/>
        <w:rPr>
          <w:rFonts w:hint="eastAsia"/>
        </w:rPr>
      </w:pPr>
    </w:p>
    <w:p>
      <w:pPr>
        <w:bidi w:val="0"/>
        <w:rPr>
          <w:rFonts w:hint="eastAsia"/>
        </w:rPr>
      </w:pPr>
    </w:p>
    <w:p>
      <w:pPr>
        <w:bidi w:val="0"/>
        <w:rPr>
          <w:rFonts w:hint="eastAsia"/>
        </w:rPr>
      </w:pPr>
    </w:p>
    <w:p>
      <w:pPr>
        <w:bidi w:val="0"/>
      </w:pPr>
    </w:p>
    <w:p>
      <w:pPr>
        <w:tabs>
          <w:tab w:val="left" w:pos="6300"/>
        </w:tabs>
        <w:snapToGrid w:val="0"/>
        <w:spacing w:line="276" w:lineRule="auto"/>
        <w:ind w:firstLine="420" w:firstLineChars="200"/>
        <w:rPr>
          <w:rFonts w:ascii="宋体" w:hAnsi="宋体"/>
          <w:sz w:val="21"/>
          <w:szCs w:val="21"/>
        </w:rPr>
      </w:pPr>
      <w:r>
        <w:rPr>
          <w:rFonts w:hint="eastAsia" w:ascii="宋体" w:hAnsi="宋体"/>
          <w:sz w:val="21"/>
          <w:szCs w:val="21"/>
        </w:rPr>
        <w:t xml:space="preserve">                                                  投标人名称（盖章）：</w:t>
      </w:r>
    </w:p>
    <w:p>
      <w:pPr>
        <w:tabs>
          <w:tab w:val="left" w:pos="6300"/>
        </w:tabs>
        <w:snapToGrid w:val="0"/>
        <w:spacing w:line="276" w:lineRule="auto"/>
        <w:ind w:firstLine="570"/>
        <w:jc w:val="left"/>
        <w:rPr>
          <w:rFonts w:ascii="宋体" w:hAnsi="宋体"/>
          <w:sz w:val="21"/>
          <w:szCs w:val="21"/>
        </w:rPr>
      </w:pPr>
      <w:r>
        <w:rPr>
          <w:rFonts w:hint="eastAsia" w:ascii="宋体" w:hAnsi="宋体"/>
          <w:sz w:val="21"/>
          <w:szCs w:val="21"/>
        </w:rPr>
        <w:t xml:space="preserve">                                                  日  期：</w:t>
      </w: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ind w:firstLine="570"/>
        <w:jc w:val="left"/>
        <w:rPr>
          <w:rFonts w:ascii="宋体" w:hAnsi="宋体"/>
        </w:rPr>
      </w:pPr>
    </w:p>
    <w:p>
      <w:pPr>
        <w:tabs>
          <w:tab w:val="left" w:pos="6300"/>
        </w:tabs>
        <w:snapToGrid w:val="0"/>
        <w:spacing w:line="276" w:lineRule="auto"/>
        <w:jc w:val="left"/>
        <w:rPr>
          <w:rFonts w:ascii="宋体" w:hAnsi="宋体"/>
        </w:rPr>
      </w:pPr>
    </w:p>
    <w:p>
      <w:pPr>
        <w:tabs>
          <w:tab w:val="left" w:pos="6300"/>
        </w:tabs>
        <w:snapToGrid w:val="0"/>
        <w:spacing w:line="276" w:lineRule="auto"/>
        <w:ind w:firstLine="570"/>
        <w:jc w:val="left"/>
        <w:rPr>
          <w:rFonts w:ascii="宋体" w:hAnsi="宋体"/>
        </w:rPr>
      </w:pPr>
    </w:p>
    <w:p>
      <w:pPr>
        <w:spacing w:line="276" w:lineRule="auto"/>
        <w:rPr>
          <w:rFonts w:ascii="宋体" w:hAnsi="宋体"/>
        </w:rPr>
      </w:pPr>
      <w:r>
        <w:rPr>
          <w:rFonts w:hint="eastAsia" w:ascii="宋体" w:hAnsi="宋体"/>
        </w:rPr>
        <w:t>（二）其他与项目有关的资料（自附）</w:t>
      </w:r>
    </w:p>
    <w:p>
      <w:pPr>
        <w:tabs>
          <w:tab w:val="left" w:pos="6300"/>
        </w:tabs>
        <w:snapToGrid w:val="0"/>
        <w:spacing w:line="276" w:lineRule="auto"/>
        <w:ind w:firstLine="570"/>
        <w:jc w:val="left"/>
        <w:rPr>
          <w:rFonts w:ascii="宋体" w:hAnsi="宋体"/>
          <w:sz w:val="24"/>
        </w:rPr>
      </w:pPr>
    </w:p>
    <w:p>
      <w:pPr>
        <w:tabs>
          <w:tab w:val="left" w:pos="6300"/>
        </w:tabs>
        <w:snapToGrid w:val="0"/>
        <w:spacing w:line="276" w:lineRule="auto"/>
        <w:ind w:firstLine="570"/>
        <w:jc w:val="left"/>
        <w:rPr>
          <w:rFonts w:ascii="宋体" w:hAnsi="宋体"/>
          <w:sz w:val="24"/>
        </w:rPr>
      </w:pPr>
    </w:p>
    <w:p>
      <w:pPr>
        <w:tabs>
          <w:tab w:val="left" w:pos="6300"/>
        </w:tabs>
        <w:snapToGrid w:val="0"/>
        <w:spacing w:line="276" w:lineRule="auto"/>
        <w:ind w:firstLine="570"/>
        <w:jc w:val="left"/>
        <w:rPr>
          <w:rFonts w:ascii="宋体" w:hAnsi="宋体"/>
          <w:sz w:val="24"/>
        </w:rPr>
      </w:pPr>
    </w:p>
    <w:p>
      <w:pPr>
        <w:tabs>
          <w:tab w:val="left" w:pos="6300"/>
        </w:tabs>
        <w:snapToGrid w:val="0"/>
        <w:spacing w:line="276" w:lineRule="auto"/>
        <w:ind w:firstLine="570"/>
        <w:jc w:val="left"/>
        <w:rPr>
          <w:rFonts w:ascii="宋体" w:hAnsi="宋体"/>
          <w:sz w:val="24"/>
        </w:rPr>
      </w:pPr>
    </w:p>
    <w:p>
      <w:pPr>
        <w:tabs>
          <w:tab w:val="left" w:pos="6300"/>
        </w:tabs>
        <w:snapToGrid w:val="0"/>
        <w:spacing w:line="276" w:lineRule="auto"/>
        <w:ind w:firstLine="570"/>
        <w:jc w:val="left"/>
        <w:rPr>
          <w:rFonts w:ascii="宋体" w:hAnsi="宋体"/>
          <w:sz w:val="24"/>
        </w:rPr>
      </w:pPr>
    </w:p>
    <w:p>
      <w:pPr>
        <w:tabs>
          <w:tab w:val="left" w:pos="6300"/>
        </w:tabs>
        <w:snapToGrid w:val="0"/>
        <w:spacing w:line="276" w:lineRule="auto"/>
        <w:ind w:firstLine="570"/>
        <w:jc w:val="left"/>
        <w:rPr>
          <w:rFonts w:ascii="宋体" w:hAnsi="宋体"/>
          <w:sz w:val="24"/>
        </w:rPr>
      </w:pPr>
    </w:p>
    <w:p>
      <w:pPr>
        <w:tabs>
          <w:tab w:val="left" w:pos="6300"/>
        </w:tabs>
        <w:snapToGrid w:val="0"/>
        <w:spacing w:line="276" w:lineRule="auto"/>
        <w:ind w:firstLine="570"/>
        <w:jc w:val="left"/>
        <w:rPr>
          <w:rFonts w:ascii="宋体" w:hAnsi="宋体"/>
          <w:sz w:val="24"/>
        </w:rPr>
      </w:pPr>
    </w:p>
    <w:p>
      <w:pPr>
        <w:tabs>
          <w:tab w:val="left" w:pos="6300"/>
        </w:tabs>
        <w:snapToGrid w:val="0"/>
        <w:spacing w:line="276" w:lineRule="auto"/>
        <w:jc w:val="center"/>
        <w:rPr>
          <w:rFonts w:ascii="宋体" w:hAnsi="宋体"/>
        </w:rPr>
      </w:pPr>
      <w:r>
        <w:rPr>
          <w:rFonts w:hint="eastAsia" w:ascii="宋体" w:hAnsi="宋体"/>
        </w:rPr>
        <w:t>（结束）</w:t>
      </w:r>
    </w:p>
    <w:sectPr>
      <w:headerReference r:id="rId7" w:type="default"/>
      <w:footerReference r:id="rId8" w:type="default"/>
      <w:type w:val="nextColum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2"/>
      </w:rPr>
      <w:instrText xml:space="preserve"> PAGE </w:instrText>
    </w:r>
    <w:r>
      <w:fldChar w:fldCharType="separate"/>
    </w:r>
    <w:r>
      <w:rPr>
        <w:rStyle w:val="62"/>
      </w:rPr>
      <w:t>- 34 -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left"/>
      <w:rPr>
        <w:rFonts w:ascii="方正仿宋_GBK" w:eastAsia="方正仿宋_GBK"/>
        <w:sz w:val="21"/>
        <w:szCs w:val="24"/>
      </w:rPr>
    </w:pPr>
    <w:r>
      <w:rPr>
        <w:rFonts w:hint="eastAsia" w:ascii="方正仿宋_GBK" w:eastAsia="方正仿宋_GBK"/>
        <w:sz w:val="21"/>
        <w:szCs w:val="24"/>
      </w:rPr>
      <w:t>重庆市第九人民医院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方正仿宋_GBK" w:eastAsia="方正仿宋_GBK"/>
        <w:sz w:val="21"/>
        <w:szCs w:val="21"/>
      </w:rPr>
    </w:pPr>
    <w:r>
      <w:rPr>
        <w:rFonts w:hint="eastAsia" w:ascii="方正仿宋_GBK" w:eastAsia="方正仿宋_GBK"/>
        <w:sz w:val="21"/>
        <w:szCs w:val="24"/>
      </w:rPr>
      <w:t xml:space="preserve">重庆市第九人民医院 </w:t>
    </w:r>
    <w:r>
      <w:rPr>
        <w:rFonts w:hint="eastAsia" w:ascii="方正仿宋_GBK" w:eastAsia="方正仿宋_GBK"/>
        <w:sz w:val="21"/>
        <w:szCs w:val="21"/>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5DFDE"/>
    <w:multiLevelType w:val="singleLevel"/>
    <w:tmpl w:val="8725DFDE"/>
    <w:lvl w:ilvl="0" w:tentative="0">
      <w:start w:val="3"/>
      <w:numFmt w:val="decimal"/>
      <w:suff w:val="nothing"/>
      <w:lvlText w:val="%1、"/>
      <w:lvlJc w:val="left"/>
      <w:pPr>
        <w:ind w:left="22"/>
      </w:pPr>
    </w:lvl>
  </w:abstractNum>
  <w:abstractNum w:abstractNumId="1">
    <w:nsid w:val="9C6D62EE"/>
    <w:multiLevelType w:val="singleLevel"/>
    <w:tmpl w:val="9C6D62EE"/>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3">
    <w:nsid w:val="00000005"/>
    <w:multiLevelType w:val="multilevel"/>
    <w:tmpl w:val="00000005"/>
    <w:lvl w:ilvl="0" w:tentative="0">
      <w:start w:val="1"/>
      <w:numFmt w:val="bullet"/>
      <w:pStyle w:val="115"/>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5">
    <w:nsid w:val="00000007"/>
    <w:multiLevelType w:val="multilevel"/>
    <w:tmpl w:val="00000007"/>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A"/>
    <w:multiLevelType w:val="multilevel"/>
    <w:tmpl w:val="0000000A"/>
    <w:lvl w:ilvl="0" w:tentative="0">
      <w:start w:val="8"/>
      <w:numFmt w:val="decimal"/>
      <w:pStyle w:val="18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3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3"/>
    <w:multiLevelType w:val="multilevel"/>
    <w:tmpl w:val="00000013"/>
    <w:lvl w:ilvl="0" w:tentative="0">
      <w:start w:val="1"/>
      <w:numFmt w:val="bullet"/>
      <w:pStyle w:val="1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
      <w:pStyle w:val="186"/>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singleLevel"/>
    <w:tmpl w:val="00000016"/>
    <w:lvl w:ilvl="0" w:tentative="0">
      <w:start w:val="1"/>
      <w:numFmt w:val="bullet"/>
      <w:pStyle w:val="163"/>
      <w:lvlText w:val=""/>
      <w:lvlJc w:val="left"/>
      <w:pPr>
        <w:tabs>
          <w:tab w:val="left" w:pos="360"/>
        </w:tabs>
        <w:ind w:left="360" w:hanging="360"/>
      </w:pPr>
      <w:rPr>
        <w:rFonts w:hint="default" w:ascii="Wingdings" w:hAnsi="Wingdings"/>
      </w:rPr>
    </w:lvl>
  </w:abstractNum>
  <w:abstractNum w:abstractNumId="13">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4">
    <w:nsid w:val="00000019"/>
    <w:multiLevelType w:val="singleLevel"/>
    <w:tmpl w:val="00000019"/>
    <w:lvl w:ilvl="0" w:tentative="0">
      <w:start w:val="1"/>
      <w:numFmt w:val="decimal"/>
      <w:pStyle w:val="152"/>
      <w:lvlText w:val="%1)"/>
      <w:lvlJc w:val="left"/>
      <w:pPr>
        <w:tabs>
          <w:tab w:val="left" w:pos="425"/>
        </w:tabs>
        <w:ind w:left="425" w:hanging="425"/>
      </w:pPr>
      <w:rPr>
        <w:rFonts w:hint="eastAsia"/>
      </w:rPr>
    </w:lvl>
  </w:abstractNum>
  <w:abstractNum w:abstractNumId="15">
    <w:nsid w:val="0000001A"/>
    <w:multiLevelType w:val="multilevel"/>
    <w:tmpl w:val="0000001A"/>
    <w:lvl w:ilvl="0" w:tentative="0">
      <w:start w:val="1"/>
      <w:numFmt w:val="decimal"/>
      <w:pStyle w:val="9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D"/>
    <w:multiLevelType w:val="multilevel"/>
    <w:tmpl w:val="0000001D"/>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A6B5BA0"/>
    <w:multiLevelType w:val="multilevel"/>
    <w:tmpl w:val="3A6B5B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50B7BF6"/>
    <w:multiLevelType w:val="multilevel"/>
    <w:tmpl w:val="450B7BF6"/>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2"/>
  </w:num>
  <w:num w:numId="3">
    <w:abstractNumId w:val="4"/>
  </w:num>
  <w:num w:numId="4">
    <w:abstractNumId w:val="13"/>
  </w:num>
  <w:num w:numId="5">
    <w:abstractNumId w:val="8"/>
  </w:num>
  <w:num w:numId="6">
    <w:abstractNumId w:val="15"/>
  </w:num>
  <w:num w:numId="7">
    <w:abstractNumId w:val="3"/>
  </w:num>
  <w:num w:numId="8">
    <w:abstractNumId w:val="6"/>
  </w:num>
  <w:num w:numId="9">
    <w:abstractNumId w:val="9"/>
  </w:num>
  <w:num w:numId="10">
    <w:abstractNumId w:val="7"/>
  </w:num>
  <w:num w:numId="11">
    <w:abstractNumId w:val="14"/>
  </w:num>
  <w:num w:numId="12">
    <w:abstractNumId w:val="12"/>
  </w:num>
  <w:num w:numId="13">
    <w:abstractNumId w:val="5"/>
  </w:num>
  <w:num w:numId="14">
    <w:abstractNumId w:val="16"/>
  </w:num>
  <w:num w:numId="15">
    <w:abstractNumId w:val="11"/>
  </w:num>
  <w:num w:numId="16">
    <w:abstractNumId w:val="10"/>
  </w:num>
  <w:num w:numId="17">
    <w:abstractNumId w:val="17"/>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2"/>
    <w:rsid w:val="0000255E"/>
    <w:rsid w:val="00003ACB"/>
    <w:rsid w:val="00006772"/>
    <w:rsid w:val="000072F0"/>
    <w:rsid w:val="00011974"/>
    <w:rsid w:val="00011AF1"/>
    <w:rsid w:val="000159CA"/>
    <w:rsid w:val="00021946"/>
    <w:rsid w:val="00025013"/>
    <w:rsid w:val="000266A1"/>
    <w:rsid w:val="00034A67"/>
    <w:rsid w:val="00036148"/>
    <w:rsid w:val="0003767C"/>
    <w:rsid w:val="000376BA"/>
    <w:rsid w:val="00042250"/>
    <w:rsid w:val="00043311"/>
    <w:rsid w:val="000452E4"/>
    <w:rsid w:val="000468EE"/>
    <w:rsid w:val="00047EC0"/>
    <w:rsid w:val="00056058"/>
    <w:rsid w:val="00060807"/>
    <w:rsid w:val="00060E35"/>
    <w:rsid w:val="00061C93"/>
    <w:rsid w:val="0006572E"/>
    <w:rsid w:val="00067014"/>
    <w:rsid w:val="00067E6F"/>
    <w:rsid w:val="00075520"/>
    <w:rsid w:val="000946BD"/>
    <w:rsid w:val="00094D91"/>
    <w:rsid w:val="000A1394"/>
    <w:rsid w:val="000A2529"/>
    <w:rsid w:val="000A5589"/>
    <w:rsid w:val="000A6C5F"/>
    <w:rsid w:val="000B2716"/>
    <w:rsid w:val="000C2017"/>
    <w:rsid w:val="000C2A3C"/>
    <w:rsid w:val="000C44E3"/>
    <w:rsid w:val="000D1DFF"/>
    <w:rsid w:val="000D2044"/>
    <w:rsid w:val="000D2AE6"/>
    <w:rsid w:val="000E43DC"/>
    <w:rsid w:val="000F16AA"/>
    <w:rsid w:val="000F176A"/>
    <w:rsid w:val="00100D7A"/>
    <w:rsid w:val="00107F46"/>
    <w:rsid w:val="001103D7"/>
    <w:rsid w:val="00110AA3"/>
    <w:rsid w:val="0011194D"/>
    <w:rsid w:val="00123282"/>
    <w:rsid w:val="00124CAB"/>
    <w:rsid w:val="0012660F"/>
    <w:rsid w:val="00135250"/>
    <w:rsid w:val="00136D7C"/>
    <w:rsid w:val="001407F6"/>
    <w:rsid w:val="00146F1F"/>
    <w:rsid w:val="001528E5"/>
    <w:rsid w:val="00154A37"/>
    <w:rsid w:val="001572A0"/>
    <w:rsid w:val="00161645"/>
    <w:rsid w:val="00172A27"/>
    <w:rsid w:val="00173A9E"/>
    <w:rsid w:val="001767A8"/>
    <w:rsid w:val="00177752"/>
    <w:rsid w:val="001845DE"/>
    <w:rsid w:val="00184668"/>
    <w:rsid w:val="001864B0"/>
    <w:rsid w:val="00186A42"/>
    <w:rsid w:val="00192A45"/>
    <w:rsid w:val="0019554A"/>
    <w:rsid w:val="00197C87"/>
    <w:rsid w:val="001A0940"/>
    <w:rsid w:val="001A0DF2"/>
    <w:rsid w:val="001B537C"/>
    <w:rsid w:val="001C2A5A"/>
    <w:rsid w:val="001C7048"/>
    <w:rsid w:val="001C7A41"/>
    <w:rsid w:val="001D3080"/>
    <w:rsid w:val="001D3B7E"/>
    <w:rsid w:val="001D3BF8"/>
    <w:rsid w:val="001E2993"/>
    <w:rsid w:val="001E4F32"/>
    <w:rsid w:val="001F2848"/>
    <w:rsid w:val="001F2B77"/>
    <w:rsid w:val="00202508"/>
    <w:rsid w:val="0020494C"/>
    <w:rsid w:val="00211869"/>
    <w:rsid w:val="00217C0F"/>
    <w:rsid w:val="00220893"/>
    <w:rsid w:val="00221927"/>
    <w:rsid w:val="00223B03"/>
    <w:rsid w:val="002247CE"/>
    <w:rsid w:val="002259B2"/>
    <w:rsid w:val="00225AEE"/>
    <w:rsid w:val="00225E89"/>
    <w:rsid w:val="0022711C"/>
    <w:rsid w:val="002331CF"/>
    <w:rsid w:val="00233AFE"/>
    <w:rsid w:val="00242AAE"/>
    <w:rsid w:val="002435D0"/>
    <w:rsid w:val="00243F8F"/>
    <w:rsid w:val="00250A90"/>
    <w:rsid w:val="00252999"/>
    <w:rsid w:val="00252EC2"/>
    <w:rsid w:val="0025308A"/>
    <w:rsid w:val="00253F1A"/>
    <w:rsid w:val="002551FA"/>
    <w:rsid w:val="00255554"/>
    <w:rsid w:val="0025601D"/>
    <w:rsid w:val="00256270"/>
    <w:rsid w:val="00257FF1"/>
    <w:rsid w:val="00262267"/>
    <w:rsid w:val="00262E5F"/>
    <w:rsid w:val="00263CCA"/>
    <w:rsid w:val="00263F00"/>
    <w:rsid w:val="00264A68"/>
    <w:rsid w:val="00275AD6"/>
    <w:rsid w:val="0028066C"/>
    <w:rsid w:val="00281064"/>
    <w:rsid w:val="00281C26"/>
    <w:rsid w:val="002833CF"/>
    <w:rsid w:val="00286CB3"/>
    <w:rsid w:val="00286F80"/>
    <w:rsid w:val="0029022C"/>
    <w:rsid w:val="00293E38"/>
    <w:rsid w:val="002942B8"/>
    <w:rsid w:val="002A0576"/>
    <w:rsid w:val="002A07E2"/>
    <w:rsid w:val="002B26F0"/>
    <w:rsid w:val="002B552B"/>
    <w:rsid w:val="002B67E0"/>
    <w:rsid w:val="002C6836"/>
    <w:rsid w:val="002C7F2B"/>
    <w:rsid w:val="002D2F75"/>
    <w:rsid w:val="002E0FB6"/>
    <w:rsid w:val="002E1597"/>
    <w:rsid w:val="002E2816"/>
    <w:rsid w:val="002E41DF"/>
    <w:rsid w:val="002E6AC4"/>
    <w:rsid w:val="002E6DFA"/>
    <w:rsid w:val="002F1086"/>
    <w:rsid w:val="002F4DB5"/>
    <w:rsid w:val="002F5829"/>
    <w:rsid w:val="002F5EEF"/>
    <w:rsid w:val="002F6987"/>
    <w:rsid w:val="00301076"/>
    <w:rsid w:val="00316DF2"/>
    <w:rsid w:val="003231A8"/>
    <w:rsid w:val="00323DCB"/>
    <w:rsid w:val="00324C21"/>
    <w:rsid w:val="00331597"/>
    <w:rsid w:val="00342497"/>
    <w:rsid w:val="0034389C"/>
    <w:rsid w:val="00344FF3"/>
    <w:rsid w:val="00353E41"/>
    <w:rsid w:val="00362746"/>
    <w:rsid w:val="0036635E"/>
    <w:rsid w:val="00370BF4"/>
    <w:rsid w:val="0037169E"/>
    <w:rsid w:val="003716A5"/>
    <w:rsid w:val="003736A1"/>
    <w:rsid w:val="00376B12"/>
    <w:rsid w:val="00383C9F"/>
    <w:rsid w:val="0038635F"/>
    <w:rsid w:val="00386671"/>
    <w:rsid w:val="003902F6"/>
    <w:rsid w:val="003A37BE"/>
    <w:rsid w:val="003A4636"/>
    <w:rsid w:val="003A6440"/>
    <w:rsid w:val="003B2F40"/>
    <w:rsid w:val="003B74C7"/>
    <w:rsid w:val="003C18B1"/>
    <w:rsid w:val="003C3995"/>
    <w:rsid w:val="003C73E5"/>
    <w:rsid w:val="003D0992"/>
    <w:rsid w:val="003D1F45"/>
    <w:rsid w:val="003D229C"/>
    <w:rsid w:val="003D71F4"/>
    <w:rsid w:val="003E191C"/>
    <w:rsid w:val="003E2B66"/>
    <w:rsid w:val="003E316B"/>
    <w:rsid w:val="003E5E95"/>
    <w:rsid w:val="003E699F"/>
    <w:rsid w:val="003F2CFF"/>
    <w:rsid w:val="003F5BC7"/>
    <w:rsid w:val="003F7CE2"/>
    <w:rsid w:val="0040154D"/>
    <w:rsid w:val="00407538"/>
    <w:rsid w:val="0040799A"/>
    <w:rsid w:val="00410D92"/>
    <w:rsid w:val="00411C41"/>
    <w:rsid w:val="004157DD"/>
    <w:rsid w:val="00415899"/>
    <w:rsid w:val="00415D11"/>
    <w:rsid w:val="00422860"/>
    <w:rsid w:val="00422B01"/>
    <w:rsid w:val="00425B08"/>
    <w:rsid w:val="00426E62"/>
    <w:rsid w:val="00431B48"/>
    <w:rsid w:val="00432DE8"/>
    <w:rsid w:val="00442474"/>
    <w:rsid w:val="0044361E"/>
    <w:rsid w:val="0045181E"/>
    <w:rsid w:val="00452670"/>
    <w:rsid w:val="00454511"/>
    <w:rsid w:val="00454DDC"/>
    <w:rsid w:val="0045590E"/>
    <w:rsid w:val="00465257"/>
    <w:rsid w:val="00475385"/>
    <w:rsid w:val="0047562B"/>
    <w:rsid w:val="00475E0F"/>
    <w:rsid w:val="00481CD4"/>
    <w:rsid w:val="0048396B"/>
    <w:rsid w:val="00485174"/>
    <w:rsid w:val="00487CDA"/>
    <w:rsid w:val="0049664C"/>
    <w:rsid w:val="004978F0"/>
    <w:rsid w:val="004979FC"/>
    <w:rsid w:val="004A0052"/>
    <w:rsid w:val="004A02B1"/>
    <w:rsid w:val="004A263F"/>
    <w:rsid w:val="004A3EE0"/>
    <w:rsid w:val="004A6C21"/>
    <w:rsid w:val="004B1497"/>
    <w:rsid w:val="004B4538"/>
    <w:rsid w:val="004B5779"/>
    <w:rsid w:val="004B6CA6"/>
    <w:rsid w:val="004B709B"/>
    <w:rsid w:val="004B7FE0"/>
    <w:rsid w:val="004C1FC5"/>
    <w:rsid w:val="004C2A6E"/>
    <w:rsid w:val="004D009E"/>
    <w:rsid w:val="004D0D5D"/>
    <w:rsid w:val="004D2B53"/>
    <w:rsid w:val="004D6700"/>
    <w:rsid w:val="004E257E"/>
    <w:rsid w:val="004F46BA"/>
    <w:rsid w:val="004F659A"/>
    <w:rsid w:val="005016D9"/>
    <w:rsid w:val="00502629"/>
    <w:rsid w:val="00511323"/>
    <w:rsid w:val="00513CBD"/>
    <w:rsid w:val="00522BBF"/>
    <w:rsid w:val="00525E4A"/>
    <w:rsid w:val="0053425F"/>
    <w:rsid w:val="00537C42"/>
    <w:rsid w:val="00541231"/>
    <w:rsid w:val="00542BFD"/>
    <w:rsid w:val="00545C00"/>
    <w:rsid w:val="00546C36"/>
    <w:rsid w:val="00550BEB"/>
    <w:rsid w:val="0055311C"/>
    <w:rsid w:val="00562B13"/>
    <w:rsid w:val="00562EFE"/>
    <w:rsid w:val="005645D3"/>
    <w:rsid w:val="00566CBB"/>
    <w:rsid w:val="00575BED"/>
    <w:rsid w:val="00577CDB"/>
    <w:rsid w:val="00587496"/>
    <w:rsid w:val="005A18A4"/>
    <w:rsid w:val="005A3BEE"/>
    <w:rsid w:val="005A6846"/>
    <w:rsid w:val="005B1105"/>
    <w:rsid w:val="005B1829"/>
    <w:rsid w:val="005B5D00"/>
    <w:rsid w:val="005C3185"/>
    <w:rsid w:val="005C4345"/>
    <w:rsid w:val="005D2F52"/>
    <w:rsid w:val="005E117E"/>
    <w:rsid w:val="005E12B4"/>
    <w:rsid w:val="005E7B12"/>
    <w:rsid w:val="005F17F3"/>
    <w:rsid w:val="005F363C"/>
    <w:rsid w:val="005F51F8"/>
    <w:rsid w:val="005F5262"/>
    <w:rsid w:val="005F65A7"/>
    <w:rsid w:val="00600DF2"/>
    <w:rsid w:val="00601283"/>
    <w:rsid w:val="006016E0"/>
    <w:rsid w:val="00601F42"/>
    <w:rsid w:val="006021ED"/>
    <w:rsid w:val="0060469C"/>
    <w:rsid w:val="00606AF8"/>
    <w:rsid w:val="00612C1F"/>
    <w:rsid w:val="0061386E"/>
    <w:rsid w:val="00616EC6"/>
    <w:rsid w:val="00624833"/>
    <w:rsid w:val="0062622B"/>
    <w:rsid w:val="006275D7"/>
    <w:rsid w:val="00630B1C"/>
    <w:rsid w:val="00631483"/>
    <w:rsid w:val="006341BD"/>
    <w:rsid w:val="00636C1F"/>
    <w:rsid w:val="006456C7"/>
    <w:rsid w:val="006464ED"/>
    <w:rsid w:val="00653FC4"/>
    <w:rsid w:val="006558D7"/>
    <w:rsid w:val="00655CB3"/>
    <w:rsid w:val="00661A58"/>
    <w:rsid w:val="006661A4"/>
    <w:rsid w:val="00666A83"/>
    <w:rsid w:val="0066764A"/>
    <w:rsid w:val="006732AF"/>
    <w:rsid w:val="00675735"/>
    <w:rsid w:val="00675E52"/>
    <w:rsid w:val="00675F8D"/>
    <w:rsid w:val="006800A2"/>
    <w:rsid w:val="00680CC4"/>
    <w:rsid w:val="00680EEC"/>
    <w:rsid w:val="006825F4"/>
    <w:rsid w:val="0068367F"/>
    <w:rsid w:val="00684C4F"/>
    <w:rsid w:val="00687999"/>
    <w:rsid w:val="00692295"/>
    <w:rsid w:val="00696EEA"/>
    <w:rsid w:val="0069715E"/>
    <w:rsid w:val="006A0B45"/>
    <w:rsid w:val="006A2025"/>
    <w:rsid w:val="006A3DC1"/>
    <w:rsid w:val="006A5644"/>
    <w:rsid w:val="006A71EB"/>
    <w:rsid w:val="006B1991"/>
    <w:rsid w:val="006B3BCB"/>
    <w:rsid w:val="006B446F"/>
    <w:rsid w:val="006C2CB1"/>
    <w:rsid w:val="006C32BC"/>
    <w:rsid w:val="006C4663"/>
    <w:rsid w:val="006D30F8"/>
    <w:rsid w:val="006D7125"/>
    <w:rsid w:val="006E016E"/>
    <w:rsid w:val="006E2F2B"/>
    <w:rsid w:val="006F1439"/>
    <w:rsid w:val="006F1A60"/>
    <w:rsid w:val="006F7B0F"/>
    <w:rsid w:val="00701E8B"/>
    <w:rsid w:val="0070237A"/>
    <w:rsid w:val="007048BE"/>
    <w:rsid w:val="007070E3"/>
    <w:rsid w:val="007101F0"/>
    <w:rsid w:val="00717C00"/>
    <w:rsid w:val="007203A8"/>
    <w:rsid w:val="00727EA4"/>
    <w:rsid w:val="00736BA5"/>
    <w:rsid w:val="00736DED"/>
    <w:rsid w:val="007414B4"/>
    <w:rsid w:val="007440E6"/>
    <w:rsid w:val="007445DB"/>
    <w:rsid w:val="00751BD7"/>
    <w:rsid w:val="00754077"/>
    <w:rsid w:val="00757139"/>
    <w:rsid w:val="00757B5B"/>
    <w:rsid w:val="007604C1"/>
    <w:rsid w:val="007613AA"/>
    <w:rsid w:val="007615A8"/>
    <w:rsid w:val="00761E7F"/>
    <w:rsid w:val="007629D1"/>
    <w:rsid w:val="00763937"/>
    <w:rsid w:val="007641FC"/>
    <w:rsid w:val="00765791"/>
    <w:rsid w:val="00770A1E"/>
    <w:rsid w:val="00770E34"/>
    <w:rsid w:val="00771D5C"/>
    <w:rsid w:val="00774817"/>
    <w:rsid w:val="0077586D"/>
    <w:rsid w:val="00781E90"/>
    <w:rsid w:val="007843B7"/>
    <w:rsid w:val="007977A7"/>
    <w:rsid w:val="007A115E"/>
    <w:rsid w:val="007A1958"/>
    <w:rsid w:val="007A1D16"/>
    <w:rsid w:val="007A2E91"/>
    <w:rsid w:val="007A4D8F"/>
    <w:rsid w:val="007B08DC"/>
    <w:rsid w:val="007B1ADD"/>
    <w:rsid w:val="007B1BBC"/>
    <w:rsid w:val="007B4637"/>
    <w:rsid w:val="007B56DB"/>
    <w:rsid w:val="007D06F0"/>
    <w:rsid w:val="007D5328"/>
    <w:rsid w:val="007D6DA8"/>
    <w:rsid w:val="007E0FF7"/>
    <w:rsid w:val="007E7604"/>
    <w:rsid w:val="007F13DC"/>
    <w:rsid w:val="007F396F"/>
    <w:rsid w:val="007F3ED7"/>
    <w:rsid w:val="007F4475"/>
    <w:rsid w:val="007F4A92"/>
    <w:rsid w:val="0080008F"/>
    <w:rsid w:val="00813DCB"/>
    <w:rsid w:val="00823323"/>
    <w:rsid w:val="008368CC"/>
    <w:rsid w:val="00836907"/>
    <w:rsid w:val="00837ACD"/>
    <w:rsid w:val="00837E7E"/>
    <w:rsid w:val="008462F2"/>
    <w:rsid w:val="00846835"/>
    <w:rsid w:val="00850495"/>
    <w:rsid w:val="00860FA0"/>
    <w:rsid w:val="00872165"/>
    <w:rsid w:val="00872BD9"/>
    <w:rsid w:val="00872CE0"/>
    <w:rsid w:val="008805E7"/>
    <w:rsid w:val="008823C5"/>
    <w:rsid w:val="008847BE"/>
    <w:rsid w:val="00885CBF"/>
    <w:rsid w:val="008866BE"/>
    <w:rsid w:val="00887F07"/>
    <w:rsid w:val="00887F44"/>
    <w:rsid w:val="00891530"/>
    <w:rsid w:val="008A06E7"/>
    <w:rsid w:val="008A0CEB"/>
    <w:rsid w:val="008A6283"/>
    <w:rsid w:val="008A6DB1"/>
    <w:rsid w:val="008C0317"/>
    <w:rsid w:val="008C34AD"/>
    <w:rsid w:val="008C4238"/>
    <w:rsid w:val="008C54D0"/>
    <w:rsid w:val="008C5917"/>
    <w:rsid w:val="008D2FB6"/>
    <w:rsid w:val="008D3775"/>
    <w:rsid w:val="008D5912"/>
    <w:rsid w:val="008D5D99"/>
    <w:rsid w:val="008E19F1"/>
    <w:rsid w:val="008E4A4A"/>
    <w:rsid w:val="008E6C42"/>
    <w:rsid w:val="008F0CB3"/>
    <w:rsid w:val="008F4554"/>
    <w:rsid w:val="008F5FE3"/>
    <w:rsid w:val="008F6B0B"/>
    <w:rsid w:val="008F7FC7"/>
    <w:rsid w:val="009040D7"/>
    <w:rsid w:val="00905A03"/>
    <w:rsid w:val="00906CF9"/>
    <w:rsid w:val="00907D95"/>
    <w:rsid w:val="009111F7"/>
    <w:rsid w:val="00923C4C"/>
    <w:rsid w:val="0092759C"/>
    <w:rsid w:val="00932299"/>
    <w:rsid w:val="00936EDB"/>
    <w:rsid w:val="009431CE"/>
    <w:rsid w:val="0094671D"/>
    <w:rsid w:val="00952246"/>
    <w:rsid w:val="00952A37"/>
    <w:rsid w:val="0095360A"/>
    <w:rsid w:val="00957911"/>
    <w:rsid w:val="009621E7"/>
    <w:rsid w:val="00964785"/>
    <w:rsid w:val="009648E4"/>
    <w:rsid w:val="00965047"/>
    <w:rsid w:val="00965A2B"/>
    <w:rsid w:val="00965D3C"/>
    <w:rsid w:val="00965F18"/>
    <w:rsid w:val="00966217"/>
    <w:rsid w:val="009676AA"/>
    <w:rsid w:val="009704E8"/>
    <w:rsid w:val="00971130"/>
    <w:rsid w:val="009720E8"/>
    <w:rsid w:val="00977EA2"/>
    <w:rsid w:val="009815D1"/>
    <w:rsid w:val="009847F2"/>
    <w:rsid w:val="00987348"/>
    <w:rsid w:val="009931BD"/>
    <w:rsid w:val="00993E75"/>
    <w:rsid w:val="009961AF"/>
    <w:rsid w:val="0099772A"/>
    <w:rsid w:val="00997ED7"/>
    <w:rsid w:val="009A1A74"/>
    <w:rsid w:val="009A2F0C"/>
    <w:rsid w:val="009A559F"/>
    <w:rsid w:val="009A6131"/>
    <w:rsid w:val="009A7C4B"/>
    <w:rsid w:val="009B7144"/>
    <w:rsid w:val="009C2DEA"/>
    <w:rsid w:val="009C33FD"/>
    <w:rsid w:val="009C6566"/>
    <w:rsid w:val="009C723E"/>
    <w:rsid w:val="009D3468"/>
    <w:rsid w:val="009D3B7C"/>
    <w:rsid w:val="009D52DD"/>
    <w:rsid w:val="009E6755"/>
    <w:rsid w:val="009E7274"/>
    <w:rsid w:val="009F3F85"/>
    <w:rsid w:val="009F56FA"/>
    <w:rsid w:val="00A0207D"/>
    <w:rsid w:val="00A03A23"/>
    <w:rsid w:val="00A05776"/>
    <w:rsid w:val="00A057F4"/>
    <w:rsid w:val="00A10C99"/>
    <w:rsid w:val="00A1396A"/>
    <w:rsid w:val="00A216BD"/>
    <w:rsid w:val="00A26F28"/>
    <w:rsid w:val="00A322FF"/>
    <w:rsid w:val="00A33488"/>
    <w:rsid w:val="00A33DAC"/>
    <w:rsid w:val="00A341AF"/>
    <w:rsid w:val="00A348D5"/>
    <w:rsid w:val="00A35A0C"/>
    <w:rsid w:val="00A36EAF"/>
    <w:rsid w:val="00A43B02"/>
    <w:rsid w:val="00A43BFA"/>
    <w:rsid w:val="00A52466"/>
    <w:rsid w:val="00A5465E"/>
    <w:rsid w:val="00A63AA0"/>
    <w:rsid w:val="00A70CFF"/>
    <w:rsid w:val="00A72DCF"/>
    <w:rsid w:val="00A7569B"/>
    <w:rsid w:val="00A819CD"/>
    <w:rsid w:val="00A8320C"/>
    <w:rsid w:val="00A845C5"/>
    <w:rsid w:val="00A84CC4"/>
    <w:rsid w:val="00A85534"/>
    <w:rsid w:val="00A85AFE"/>
    <w:rsid w:val="00A87965"/>
    <w:rsid w:val="00A918E0"/>
    <w:rsid w:val="00A96FAC"/>
    <w:rsid w:val="00AA14D4"/>
    <w:rsid w:val="00AA178F"/>
    <w:rsid w:val="00AA190F"/>
    <w:rsid w:val="00AA29D5"/>
    <w:rsid w:val="00AA330A"/>
    <w:rsid w:val="00AA3559"/>
    <w:rsid w:val="00AA3A39"/>
    <w:rsid w:val="00AA3DB5"/>
    <w:rsid w:val="00AA3EA9"/>
    <w:rsid w:val="00AA5FAE"/>
    <w:rsid w:val="00AB0373"/>
    <w:rsid w:val="00AB4654"/>
    <w:rsid w:val="00AB65A4"/>
    <w:rsid w:val="00AC0D4B"/>
    <w:rsid w:val="00AC34CB"/>
    <w:rsid w:val="00AC734F"/>
    <w:rsid w:val="00AC7E13"/>
    <w:rsid w:val="00AE2864"/>
    <w:rsid w:val="00AE587C"/>
    <w:rsid w:val="00AE6D6B"/>
    <w:rsid w:val="00B02FC6"/>
    <w:rsid w:val="00B03427"/>
    <w:rsid w:val="00B07506"/>
    <w:rsid w:val="00B10447"/>
    <w:rsid w:val="00B16769"/>
    <w:rsid w:val="00B20DE3"/>
    <w:rsid w:val="00B24E09"/>
    <w:rsid w:val="00B26989"/>
    <w:rsid w:val="00B328F6"/>
    <w:rsid w:val="00B332F8"/>
    <w:rsid w:val="00B3453E"/>
    <w:rsid w:val="00B3483C"/>
    <w:rsid w:val="00B40E48"/>
    <w:rsid w:val="00B4612D"/>
    <w:rsid w:val="00B46AE5"/>
    <w:rsid w:val="00B47211"/>
    <w:rsid w:val="00B477F3"/>
    <w:rsid w:val="00B479A2"/>
    <w:rsid w:val="00B54100"/>
    <w:rsid w:val="00B54C95"/>
    <w:rsid w:val="00B560B8"/>
    <w:rsid w:val="00B56484"/>
    <w:rsid w:val="00B61D5E"/>
    <w:rsid w:val="00B66F07"/>
    <w:rsid w:val="00B71473"/>
    <w:rsid w:val="00B744BA"/>
    <w:rsid w:val="00B74E30"/>
    <w:rsid w:val="00B76209"/>
    <w:rsid w:val="00B82429"/>
    <w:rsid w:val="00B82C14"/>
    <w:rsid w:val="00B83E7A"/>
    <w:rsid w:val="00B86533"/>
    <w:rsid w:val="00B912AB"/>
    <w:rsid w:val="00B9347F"/>
    <w:rsid w:val="00B94DDB"/>
    <w:rsid w:val="00B964E1"/>
    <w:rsid w:val="00B977C0"/>
    <w:rsid w:val="00BA0493"/>
    <w:rsid w:val="00BA33A9"/>
    <w:rsid w:val="00BA378D"/>
    <w:rsid w:val="00BA4C26"/>
    <w:rsid w:val="00BB7049"/>
    <w:rsid w:val="00BB70B3"/>
    <w:rsid w:val="00BC1F99"/>
    <w:rsid w:val="00BC3D75"/>
    <w:rsid w:val="00BC4871"/>
    <w:rsid w:val="00BC4D5D"/>
    <w:rsid w:val="00BC7CD5"/>
    <w:rsid w:val="00BD0538"/>
    <w:rsid w:val="00BD2931"/>
    <w:rsid w:val="00BD3668"/>
    <w:rsid w:val="00BD6D76"/>
    <w:rsid w:val="00BE200A"/>
    <w:rsid w:val="00BE51F2"/>
    <w:rsid w:val="00BE6007"/>
    <w:rsid w:val="00BE6B62"/>
    <w:rsid w:val="00BE7378"/>
    <w:rsid w:val="00BF12B9"/>
    <w:rsid w:val="00BF2AE3"/>
    <w:rsid w:val="00BF370F"/>
    <w:rsid w:val="00BF4212"/>
    <w:rsid w:val="00BF680C"/>
    <w:rsid w:val="00C02BD4"/>
    <w:rsid w:val="00C1122C"/>
    <w:rsid w:val="00C11DF3"/>
    <w:rsid w:val="00C22FB5"/>
    <w:rsid w:val="00C23C59"/>
    <w:rsid w:val="00C24D8A"/>
    <w:rsid w:val="00C32F0A"/>
    <w:rsid w:val="00C35F43"/>
    <w:rsid w:val="00C423BA"/>
    <w:rsid w:val="00C44FAD"/>
    <w:rsid w:val="00C45ACD"/>
    <w:rsid w:val="00C45C68"/>
    <w:rsid w:val="00C470AC"/>
    <w:rsid w:val="00C47E15"/>
    <w:rsid w:val="00C52266"/>
    <w:rsid w:val="00C5294B"/>
    <w:rsid w:val="00C558E6"/>
    <w:rsid w:val="00C62A1C"/>
    <w:rsid w:val="00C65AC5"/>
    <w:rsid w:val="00C71166"/>
    <w:rsid w:val="00C71788"/>
    <w:rsid w:val="00C74BE1"/>
    <w:rsid w:val="00C758DE"/>
    <w:rsid w:val="00C778A3"/>
    <w:rsid w:val="00C7796A"/>
    <w:rsid w:val="00C815BF"/>
    <w:rsid w:val="00C86EA5"/>
    <w:rsid w:val="00C874E0"/>
    <w:rsid w:val="00C90D26"/>
    <w:rsid w:val="00C92310"/>
    <w:rsid w:val="00C9392B"/>
    <w:rsid w:val="00C940DC"/>
    <w:rsid w:val="00C95622"/>
    <w:rsid w:val="00C97C76"/>
    <w:rsid w:val="00CA35F2"/>
    <w:rsid w:val="00CA4768"/>
    <w:rsid w:val="00CB0662"/>
    <w:rsid w:val="00CB1B17"/>
    <w:rsid w:val="00CB1D82"/>
    <w:rsid w:val="00CB4B1E"/>
    <w:rsid w:val="00CC3B5D"/>
    <w:rsid w:val="00CC658E"/>
    <w:rsid w:val="00CD07B0"/>
    <w:rsid w:val="00CD0A23"/>
    <w:rsid w:val="00CD1212"/>
    <w:rsid w:val="00CD5F03"/>
    <w:rsid w:val="00CE69EB"/>
    <w:rsid w:val="00CE6A29"/>
    <w:rsid w:val="00CE7310"/>
    <w:rsid w:val="00CF251E"/>
    <w:rsid w:val="00CF7D09"/>
    <w:rsid w:val="00D00074"/>
    <w:rsid w:val="00D004DE"/>
    <w:rsid w:val="00D15819"/>
    <w:rsid w:val="00D175E6"/>
    <w:rsid w:val="00D22402"/>
    <w:rsid w:val="00D22AD4"/>
    <w:rsid w:val="00D2387A"/>
    <w:rsid w:val="00D25A11"/>
    <w:rsid w:val="00D32E09"/>
    <w:rsid w:val="00D33903"/>
    <w:rsid w:val="00D40397"/>
    <w:rsid w:val="00D40ED4"/>
    <w:rsid w:val="00D453CC"/>
    <w:rsid w:val="00D45CCE"/>
    <w:rsid w:val="00D54AA0"/>
    <w:rsid w:val="00D5598F"/>
    <w:rsid w:val="00D56691"/>
    <w:rsid w:val="00D629C4"/>
    <w:rsid w:val="00D679F9"/>
    <w:rsid w:val="00D70362"/>
    <w:rsid w:val="00D72A76"/>
    <w:rsid w:val="00D74754"/>
    <w:rsid w:val="00D76DFF"/>
    <w:rsid w:val="00D771DD"/>
    <w:rsid w:val="00D93E8A"/>
    <w:rsid w:val="00D94E5F"/>
    <w:rsid w:val="00D95EF5"/>
    <w:rsid w:val="00D96D4D"/>
    <w:rsid w:val="00DA2C35"/>
    <w:rsid w:val="00DA46EA"/>
    <w:rsid w:val="00DA473D"/>
    <w:rsid w:val="00DA5311"/>
    <w:rsid w:val="00DA5782"/>
    <w:rsid w:val="00DB1CC1"/>
    <w:rsid w:val="00DB1DD6"/>
    <w:rsid w:val="00DB361F"/>
    <w:rsid w:val="00DB4665"/>
    <w:rsid w:val="00DB54D4"/>
    <w:rsid w:val="00DB7DF8"/>
    <w:rsid w:val="00DC1093"/>
    <w:rsid w:val="00DC16CA"/>
    <w:rsid w:val="00DC3DCF"/>
    <w:rsid w:val="00DC663A"/>
    <w:rsid w:val="00DD0496"/>
    <w:rsid w:val="00DD16EF"/>
    <w:rsid w:val="00DD6CE0"/>
    <w:rsid w:val="00DD7FAD"/>
    <w:rsid w:val="00DE4E0A"/>
    <w:rsid w:val="00DE63D8"/>
    <w:rsid w:val="00DF12C8"/>
    <w:rsid w:val="00DF23D0"/>
    <w:rsid w:val="00DF3855"/>
    <w:rsid w:val="00DF3C31"/>
    <w:rsid w:val="00DF461B"/>
    <w:rsid w:val="00DF4C81"/>
    <w:rsid w:val="00E0374D"/>
    <w:rsid w:val="00E03A0F"/>
    <w:rsid w:val="00E03DF0"/>
    <w:rsid w:val="00E05BFB"/>
    <w:rsid w:val="00E05D84"/>
    <w:rsid w:val="00E12AE5"/>
    <w:rsid w:val="00E13C8B"/>
    <w:rsid w:val="00E15AE5"/>
    <w:rsid w:val="00E2587A"/>
    <w:rsid w:val="00E30B66"/>
    <w:rsid w:val="00E44CFF"/>
    <w:rsid w:val="00E46CA1"/>
    <w:rsid w:val="00E5029B"/>
    <w:rsid w:val="00E60B6E"/>
    <w:rsid w:val="00E6553B"/>
    <w:rsid w:val="00E75C0B"/>
    <w:rsid w:val="00E8445E"/>
    <w:rsid w:val="00E860D4"/>
    <w:rsid w:val="00E86CBF"/>
    <w:rsid w:val="00E9230B"/>
    <w:rsid w:val="00E93790"/>
    <w:rsid w:val="00EA09A7"/>
    <w:rsid w:val="00EA229F"/>
    <w:rsid w:val="00EA3D6B"/>
    <w:rsid w:val="00EA5253"/>
    <w:rsid w:val="00EA6434"/>
    <w:rsid w:val="00EC4AFA"/>
    <w:rsid w:val="00EC53CC"/>
    <w:rsid w:val="00EC74B3"/>
    <w:rsid w:val="00ED146F"/>
    <w:rsid w:val="00ED3A34"/>
    <w:rsid w:val="00ED51FD"/>
    <w:rsid w:val="00EE129C"/>
    <w:rsid w:val="00EE4B26"/>
    <w:rsid w:val="00EE50D3"/>
    <w:rsid w:val="00EE6FB0"/>
    <w:rsid w:val="00EE719A"/>
    <w:rsid w:val="00EF2DF5"/>
    <w:rsid w:val="00EF3D95"/>
    <w:rsid w:val="00EF4B0E"/>
    <w:rsid w:val="00EF7D65"/>
    <w:rsid w:val="00F028F2"/>
    <w:rsid w:val="00F06FCC"/>
    <w:rsid w:val="00F07B01"/>
    <w:rsid w:val="00F10392"/>
    <w:rsid w:val="00F11682"/>
    <w:rsid w:val="00F2131B"/>
    <w:rsid w:val="00F229A5"/>
    <w:rsid w:val="00F27B7B"/>
    <w:rsid w:val="00F31352"/>
    <w:rsid w:val="00F35C7C"/>
    <w:rsid w:val="00F36B5F"/>
    <w:rsid w:val="00F405B9"/>
    <w:rsid w:val="00F5045C"/>
    <w:rsid w:val="00F509FB"/>
    <w:rsid w:val="00F523ED"/>
    <w:rsid w:val="00F753A8"/>
    <w:rsid w:val="00F7735B"/>
    <w:rsid w:val="00F822DB"/>
    <w:rsid w:val="00F830A4"/>
    <w:rsid w:val="00F91170"/>
    <w:rsid w:val="00FA2FE2"/>
    <w:rsid w:val="00FA422E"/>
    <w:rsid w:val="00FA65AC"/>
    <w:rsid w:val="00FA72B1"/>
    <w:rsid w:val="00FB26B3"/>
    <w:rsid w:val="00FB7965"/>
    <w:rsid w:val="00FC059C"/>
    <w:rsid w:val="00FC10F7"/>
    <w:rsid w:val="00FC2E98"/>
    <w:rsid w:val="00FC6A7B"/>
    <w:rsid w:val="00FD0446"/>
    <w:rsid w:val="00FD481F"/>
    <w:rsid w:val="00FD5C43"/>
    <w:rsid w:val="00FD6624"/>
    <w:rsid w:val="00FE2451"/>
    <w:rsid w:val="00FE5C85"/>
    <w:rsid w:val="00FE76B8"/>
    <w:rsid w:val="00FF2D68"/>
    <w:rsid w:val="00FF7EB1"/>
    <w:rsid w:val="010F68D7"/>
    <w:rsid w:val="01560C32"/>
    <w:rsid w:val="01B636FE"/>
    <w:rsid w:val="02387C70"/>
    <w:rsid w:val="024B5DDB"/>
    <w:rsid w:val="027A053E"/>
    <w:rsid w:val="02AB49FC"/>
    <w:rsid w:val="02D4669D"/>
    <w:rsid w:val="02EA0CCF"/>
    <w:rsid w:val="03064E13"/>
    <w:rsid w:val="03C05022"/>
    <w:rsid w:val="03C142B6"/>
    <w:rsid w:val="03D56DED"/>
    <w:rsid w:val="03F903E2"/>
    <w:rsid w:val="03FE737B"/>
    <w:rsid w:val="04335B11"/>
    <w:rsid w:val="04AC6C6F"/>
    <w:rsid w:val="04B30074"/>
    <w:rsid w:val="04B30699"/>
    <w:rsid w:val="04D57B0E"/>
    <w:rsid w:val="057A7AF0"/>
    <w:rsid w:val="05AF098B"/>
    <w:rsid w:val="062151B0"/>
    <w:rsid w:val="06273BD8"/>
    <w:rsid w:val="064C36CC"/>
    <w:rsid w:val="06C80159"/>
    <w:rsid w:val="06E32170"/>
    <w:rsid w:val="06E615DF"/>
    <w:rsid w:val="07600DC1"/>
    <w:rsid w:val="07830345"/>
    <w:rsid w:val="07A96329"/>
    <w:rsid w:val="07FD0414"/>
    <w:rsid w:val="094E1D41"/>
    <w:rsid w:val="09EC62C8"/>
    <w:rsid w:val="09FB0C6A"/>
    <w:rsid w:val="0A1A46C3"/>
    <w:rsid w:val="0A355DAA"/>
    <w:rsid w:val="0AE250C2"/>
    <w:rsid w:val="0AF11B33"/>
    <w:rsid w:val="0B112D7F"/>
    <w:rsid w:val="0B485072"/>
    <w:rsid w:val="0BBA472E"/>
    <w:rsid w:val="0BDC1094"/>
    <w:rsid w:val="0BE46277"/>
    <w:rsid w:val="0BFF276A"/>
    <w:rsid w:val="0C276A88"/>
    <w:rsid w:val="0C646D82"/>
    <w:rsid w:val="0CD133FB"/>
    <w:rsid w:val="0CDB6909"/>
    <w:rsid w:val="0CFD4CE0"/>
    <w:rsid w:val="0D5B79AB"/>
    <w:rsid w:val="0D6042A8"/>
    <w:rsid w:val="0D6A0A3E"/>
    <w:rsid w:val="0D916DAC"/>
    <w:rsid w:val="0D996961"/>
    <w:rsid w:val="0DC40D43"/>
    <w:rsid w:val="0DE14AC5"/>
    <w:rsid w:val="0DE412C2"/>
    <w:rsid w:val="0E3E3568"/>
    <w:rsid w:val="0E883B0D"/>
    <w:rsid w:val="0EB45626"/>
    <w:rsid w:val="0ED551C9"/>
    <w:rsid w:val="0F82532B"/>
    <w:rsid w:val="0FAD20F8"/>
    <w:rsid w:val="0FB06B1C"/>
    <w:rsid w:val="0FBA34B2"/>
    <w:rsid w:val="10514AD4"/>
    <w:rsid w:val="107E423D"/>
    <w:rsid w:val="10834F03"/>
    <w:rsid w:val="10BD6F98"/>
    <w:rsid w:val="10C017E8"/>
    <w:rsid w:val="1106497C"/>
    <w:rsid w:val="11677AD0"/>
    <w:rsid w:val="11852029"/>
    <w:rsid w:val="11FC3F6D"/>
    <w:rsid w:val="12705623"/>
    <w:rsid w:val="12857919"/>
    <w:rsid w:val="12AC3EC0"/>
    <w:rsid w:val="13266600"/>
    <w:rsid w:val="133E07A2"/>
    <w:rsid w:val="13717356"/>
    <w:rsid w:val="13B00D53"/>
    <w:rsid w:val="13D11C6B"/>
    <w:rsid w:val="14625E07"/>
    <w:rsid w:val="14B422D0"/>
    <w:rsid w:val="14DF238B"/>
    <w:rsid w:val="15242D57"/>
    <w:rsid w:val="155A12F6"/>
    <w:rsid w:val="158552FE"/>
    <w:rsid w:val="15AF0906"/>
    <w:rsid w:val="15F94BBF"/>
    <w:rsid w:val="160E1F5F"/>
    <w:rsid w:val="16207779"/>
    <w:rsid w:val="167161B8"/>
    <w:rsid w:val="16B0476C"/>
    <w:rsid w:val="16F03007"/>
    <w:rsid w:val="17640299"/>
    <w:rsid w:val="17666218"/>
    <w:rsid w:val="176A0BCF"/>
    <w:rsid w:val="176C2B6F"/>
    <w:rsid w:val="17CC73E5"/>
    <w:rsid w:val="17F4064B"/>
    <w:rsid w:val="17F90C2E"/>
    <w:rsid w:val="17F96DCE"/>
    <w:rsid w:val="18267F6A"/>
    <w:rsid w:val="184B16A0"/>
    <w:rsid w:val="18854CCB"/>
    <w:rsid w:val="18FA03E9"/>
    <w:rsid w:val="196D5BAD"/>
    <w:rsid w:val="19DE407C"/>
    <w:rsid w:val="19E10B11"/>
    <w:rsid w:val="1AA87163"/>
    <w:rsid w:val="1B543A37"/>
    <w:rsid w:val="1B737A33"/>
    <w:rsid w:val="1BBF61A2"/>
    <w:rsid w:val="1BD956BB"/>
    <w:rsid w:val="1C2900C4"/>
    <w:rsid w:val="1C4D36F6"/>
    <w:rsid w:val="1C7C0A01"/>
    <w:rsid w:val="1D1B56DC"/>
    <w:rsid w:val="1D2D1128"/>
    <w:rsid w:val="1D352F70"/>
    <w:rsid w:val="1D3F1798"/>
    <w:rsid w:val="1D84058D"/>
    <w:rsid w:val="1D8912F2"/>
    <w:rsid w:val="1DA9642A"/>
    <w:rsid w:val="1DD83ED9"/>
    <w:rsid w:val="1E3950B8"/>
    <w:rsid w:val="1E477435"/>
    <w:rsid w:val="1EA7212E"/>
    <w:rsid w:val="1ED50B96"/>
    <w:rsid w:val="1EEC7DE6"/>
    <w:rsid w:val="1F457EC9"/>
    <w:rsid w:val="20081376"/>
    <w:rsid w:val="200E05B6"/>
    <w:rsid w:val="203E2358"/>
    <w:rsid w:val="20465DAC"/>
    <w:rsid w:val="20766C95"/>
    <w:rsid w:val="20792D57"/>
    <w:rsid w:val="20886F00"/>
    <w:rsid w:val="20F95428"/>
    <w:rsid w:val="210769FB"/>
    <w:rsid w:val="211643BC"/>
    <w:rsid w:val="21540318"/>
    <w:rsid w:val="215D3B97"/>
    <w:rsid w:val="21986830"/>
    <w:rsid w:val="219E0B79"/>
    <w:rsid w:val="21D25D29"/>
    <w:rsid w:val="21D579F1"/>
    <w:rsid w:val="22194EB7"/>
    <w:rsid w:val="223226D4"/>
    <w:rsid w:val="2245368C"/>
    <w:rsid w:val="225443E0"/>
    <w:rsid w:val="226752B1"/>
    <w:rsid w:val="227C0C90"/>
    <w:rsid w:val="22DE476E"/>
    <w:rsid w:val="23086BCD"/>
    <w:rsid w:val="232A008F"/>
    <w:rsid w:val="235E4BF1"/>
    <w:rsid w:val="236844C5"/>
    <w:rsid w:val="23860B4B"/>
    <w:rsid w:val="238E7C0B"/>
    <w:rsid w:val="243A284F"/>
    <w:rsid w:val="249767A2"/>
    <w:rsid w:val="24F85849"/>
    <w:rsid w:val="24FF1A7E"/>
    <w:rsid w:val="25134074"/>
    <w:rsid w:val="25F10DE1"/>
    <w:rsid w:val="2623332C"/>
    <w:rsid w:val="264539B6"/>
    <w:rsid w:val="26DE7A3E"/>
    <w:rsid w:val="26F357FF"/>
    <w:rsid w:val="27282922"/>
    <w:rsid w:val="273D24AD"/>
    <w:rsid w:val="2758715E"/>
    <w:rsid w:val="27870A20"/>
    <w:rsid w:val="2822556C"/>
    <w:rsid w:val="285279A3"/>
    <w:rsid w:val="285506D5"/>
    <w:rsid w:val="288B7FD6"/>
    <w:rsid w:val="28A245CE"/>
    <w:rsid w:val="28DB663B"/>
    <w:rsid w:val="291757B5"/>
    <w:rsid w:val="29693DB0"/>
    <w:rsid w:val="2978466A"/>
    <w:rsid w:val="29822370"/>
    <w:rsid w:val="29F441C1"/>
    <w:rsid w:val="2A172AE9"/>
    <w:rsid w:val="2A5C58A0"/>
    <w:rsid w:val="2A9F6325"/>
    <w:rsid w:val="2AB44674"/>
    <w:rsid w:val="2AD6138A"/>
    <w:rsid w:val="2B004F78"/>
    <w:rsid w:val="2B157BDA"/>
    <w:rsid w:val="2B774BFB"/>
    <w:rsid w:val="2BE769BB"/>
    <w:rsid w:val="2C7407AC"/>
    <w:rsid w:val="2D044F4B"/>
    <w:rsid w:val="2D24524B"/>
    <w:rsid w:val="2D354F0C"/>
    <w:rsid w:val="2D4B5321"/>
    <w:rsid w:val="2D683FA3"/>
    <w:rsid w:val="2D7226CB"/>
    <w:rsid w:val="2D756CE2"/>
    <w:rsid w:val="2DAB0FA6"/>
    <w:rsid w:val="2DFD3658"/>
    <w:rsid w:val="2E3E19FB"/>
    <w:rsid w:val="2E865758"/>
    <w:rsid w:val="2F2F6488"/>
    <w:rsid w:val="2F556F69"/>
    <w:rsid w:val="2F5612F1"/>
    <w:rsid w:val="2FBA743A"/>
    <w:rsid w:val="305B4A49"/>
    <w:rsid w:val="30734ECB"/>
    <w:rsid w:val="310C404B"/>
    <w:rsid w:val="315A4266"/>
    <w:rsid w:val="316D6811"/>
    <w:rsid w:val="319866B7"/>
    <w:rsid w:val="31AD4D31"/>
    <w:rsid w:val="31C34022"/>
    <w:rsid w:val="324246E3"/>
    <w:rsid w:val="32590E63"/>
    <w:rsid w:val="32750185"/>
    <w:rsid w:val="32F81A96"/>
    <w:rsid w:val="33B51FDA"/>
    <w:rsid w:val="33B97CEA"/>
    <w:rsid w:val="342F41AF"/>
    <w:rsid w:val="346D0DDA"/>
    <w:rsid w:val="34E110F2"/>
    <w:rsid w:val="350152B5"/>
    <w:rsid w:val="35B3714C"/>
    <w:rsid w:val="35F9083E"/>
    <w:rsid w:val="362B4B1C"/>
    <w:rsid w:val="36970032"/>
    <w:rsid w:val="36E829F8"/>
    <w:rsid w:val="374448D2"/>
    <w:rsid w:val="37533025"/>
    <w:rsid w:val="3771233D"/>
    <w:rsid w:val="37770356"/>
    <w:rsid w:val="378E3356"/>
    <w:rsid w:val="3798104C"/>
    <w:rsid w:val="37BC5527"/>
    <w:rsid w:val="37DC4A29"/>
    <w:rsid w:val="37E561F2"/>
    <w:rsid w:val="386B4484"/>
    <w:rsid w:val="387B156C"/>
    <w:rsid w:val="38815040"/>
    <w:rsid w:val="38B77DBA"/>
    <w:rsid w:val="38EA6AC3"/>
    <w:rsid w:val="390D1DD4"/>
    <w:rsid w:val="392B0E69"/>
    <w:rsid w:val="397A17A6"/>
    <w:rsid w:val="39B606BC"/>
    <w:rsid w:val="39D57F0E"/>
    <w:rsid w:val="39D7152C"/>
    <w:rsid w:val="3AA45370"/>
    <w:rsid w:val="3ACC5B3D"/>
    <w:rsid w:val="3AE10C1F"/>
    <w:rsid w:val="3B1E2D4B"/>
    <w:rsid w:val="3B470119"/>
    <w:rsid w:val="3B702855"/>
    <w:rsid w:val="3B7B0319"/>
    <w:rsid w:val="3B7E5A04"/>
    <w:rsid w:val="3B96663F"/>
    <w:rsid w:val="3BEE7EAD"/>
    <w:rsid w:val="3BF85EF9"/>
    <w:rsid w:val="3C7F4B0D"/>
    <w:rsid w:val="3CAB7F17"/>
    <w:rsid w:val="3CD526B8"/>
    <w:rsid w:val="3CE1290D"/>
    <w:rsid w:val="3CFF4FE4"/>
    <w:rsid w:val="3D2B252D"/>
    <w:rsid w:val="3DC97E82"/>
    <w:rsid w:val="3DEF3D9F"/>
    <w:rsid w:val="3EC014A3"/>
    <w:rsid w:val="3F0B3DF6"/>
    <w:rsid w:val="3F1D1DB4"/>
    <w:rsid w:val="3FAD4DA9"/>
    <w:rsid w:val="3FC45A93"/>
    <w:rsid w:val="3FC94034"/>
    <w:rsid w:val="3FD14B13"/>
    <w:rsid w:val="3FD7050E"/>
    <w:rsid w:val="401F1429"/>
    <w:rsid w:val="40447A15"/>
    <w:rsid w:val="40981D46"/>
    <w:rsid w:val="40C4524F"/>
    <w:rsid w:val="41064D0E"/>
    <w:rsid w:val="410C017D"/>
    <w:rsid w:val="41927BA9"/>
    <w:rsid w:val="425A31D4"/>
    <w:rsid w:val="42D1480B"/>
    <w:rsid w:val="42F0434A"/>
    <w:rsid w:val="43000453"/>
    <w:rsid w:val="43396B36"/>
    <w:rsid w:val="433D6DBA"/>
    <w:rsid w:val="43426704"/>
    <w:rsid w:val="434D3CA7"/>
    <w:rsid w:val="437F3F8B"/>
    <w:rsid w:val="43E87EA3"/>
    <w:rsid w:val="43F46968"/>
    <w:rsid w:val="4427580A"/>
    <w:rsid w:val="44321F71"/>
    <w:rsid w:val="4447627F"/>
    <w:rsid w:val="44797679"/>
    <w:rsid w:val="44B8628D"/>
    <w:rsid w:val="44D45DED"/>
    <w:rsid w:val="44D836CC"/>
    <w:rsid w:val="4543196F"/>
    <w:rsid w:val="45442489"/>
    <w:rsid w:val="454F7F8B"/>
    <w:rsid w:val="45624369"/>
    <w:rsid w:val="45CD69A5"/>
    <w:rsid w:val="45DC66E4"/>
    <w:rsid w:val="460E4795"/>
    <w:rsid w:val="4624120A"/>
    <w:rsid w:val="468A3901"/>
    <w:rsid w:val="46B817C7"/>
    <w:rsid w:val="47314E5B"/>
    <w:rsid w:val="47553725"/>
    <w:rsid w:val="4820317F"/>
    <w:rsid w:val="48A50BA3"/>
    <w:rsid w:val="48CA2F83"/>
    <w:rsid w:val="490F33CC"/>
    <w:rsid w:val="49857E20"/>
    <w:rsid w:val="499B1816"/>
    <w:rsid w:val="49F821E9"/>
    <w:rsid w:val="4A081BD8"/>
    <w:rsid w:val="4A1474F2"/>
    <w:rsid w:val="4A486B60"/>
    <w:rsid w:val="4AF83705"/>
    <w:rsid w:val="4B15047D"/>
    <w:rsid w:val="4B5F3E8D"/>
    <w:rsid w:val="4B7E65A1"/>
    <w:rsid w:val="4BBA14CC"/>
    <w:rsid w:val="4C525007"/>
    <w:rsid w:val="4C7910C5"/>
    <w:rsid w:val="4CC6346C"/>
    <w:rsid w:val="4CFC70AE"/>
    <w:rsid w:val="4D25547A"/>
    <w:rsid w:val="4D3B490E"/>
    <w:rsid w:val="4D617B07"/>
    <w:rsid w:val="4E6529D5"/>
    <w:rsid w:val="4ED152B3"/>
    <w:rsid w:val="4F0F4119"/>
    <w:rsid w:val="4F3C3ACC"/>
    <w:rsid w:val="4F6E1A39"/>
    <w:rsid w:val="4F7B7BD9"/>
    <w:rsid w:val="4F9B5DE2"/>
    <w:rsid w:val="4FA03482"/>
    <w:rsid w:val="4FB9245B"/>
    <w:rsid w:val="4FC251EE"/>
    <w:rsid w:val="4FCB7A49"/>
    <w:rsid w:val="50221D62"/>
    <w:rsid w:val="502F6046"/>
    <w:rsid w:val="506D5907"/>
    <w:rsid w:val="507B329D"/>
    <w:rsid w:val="50986F00"/>
    <w:rsid w:val="50A87266"/>
    <w:rsid w:val="50A963FD"/>
    <w:rsid w:val="50B923A2"/>
    <w:rsid w:val="50DB117C"/>
    <w:rsid w:val="511308D3"/>
    <w:rsid w:val="514F1492"/>
    <w:rsid w:val="51691D58"/>
    <w:rsid w:val="517C3D6C"/>
    <w:rsid w:val="51845870"/>
    <w:rsid w:val="519A3924"/>
    <w:rsid w:val="51AB222B"/>
    <w:rsid w:val="52113E74"/>
    <w:rsid w:val="521C4D2E"/>
    <w:rsid w:val="525E39B3"/>
    <w:rsid w:val="52E977E7"/>
    <w:rsid w:val="5309067F"/>
    <w:rsid w:val="533F5229"/>
    <w:rsid w:val="5394161F"/>
    <w:rsid w:val="541E5A0C"/>
    <w:rsid w:val="547B1955"/>
    <w:rsid w:val="54AF08C6"/>
    <w:rsid w:val="550F640B"/>
    <w:rsid w:val="55345EC4"/>
    <w:rsid w:val="555D063F"/>
    <w:rsid w:val="55653A2B"/>
    <w:rsid w:val="55C63142"/>
    <w:rsid w:val="55C71A0E"/>
    <w:rsid w:val="560D45C6"/>
    <w:rsid w:val="560D7E52"/>
    <w:rsid w:val="561A6EA9"/>
    <w:rsid w:val="56362702"/>
    <w:rsid w:val="566D4D24"/>
    <w:rsid w:val="566E43BE"/>
    <w:rsid w:val="56AC561E"/>
    <w:rsid w:val="56E2746A"/>
    <w:rsid w:val="56F658BD"/>
    <w:rsid w:val="57277626"/>
    <w:rsid w:val="5729591F"/>
    <w:rsid w:val="57561879"/>
    <w:rsid w:val="57837273"/>
    <w:rsid w:val="57CD0E7B"/>
    <w:rsid w:val="57CE1B7E"/>
    <w:rsid w:val="57F71CA6"/>
    <w:rsid w:val="57F80F2A"/>
    <w:rsid w:val="586A23B1"/>
    <w:rsid w:val="588A1C09"/>
    <w:rsid w:val="58EF1DF9"/>
    <w:rsid w:val="59207A8F"/>
    <w:rsid w:val="597718DE"/>
    <w:rsid w:val="5A0E0E4F"/>
    <w:rsid w:val="5A205037"/>
    <w:rsid w:val="5A2120C5"/>
    <w:rsid w:val="5A3C236A"/>
    <w:rsid w:val="5A4C51F6"/>
    <w:rsid w:val="5A4E7275"/>
    <w:rsid w:val="5AB04A11"/>
    <w:rsid w:val="5AE76B11"/>
    <w:rsid w:val="5AEC5C96"/>
    <w:rsid w:val="5B0833BF"/>
    <w:rsid w:val="5B0E4079"/>
    <w:rsid w:val="5B5A4B6E"/>
    <w:rsid w:val="5BA425D2"/>
    <w:rsid w:val="5BAF00BD"/>
    <w:rsid w:val="5C2A10A5"/>
    <w:rsid w:val="5C441F61"/>
    <w:rsid w:val="5CA26E68"/>
    <w:rsid w:val="5D073A14"/>
    <w:rsid w:val="5D2406AA"/>
    <w:rsid w:val="5D723FF8"/>
    <w:rsid w:val="5D7E77C2"/>
    <w:rsid w:val="5DDD50CB"/>
    <w:rsid w:val="5E5F71D2"/>
    <w:rsid w:val="5EFF7537"/>
    <w:rsid w:val="5F057B5D"/>
    <w:rsid w:val="5F2C5342"/>
    <w:rsid w:val="5F8F733E"/>
    <w:rsid w:val="5F932434"/>
    <w:rsid w:val="5FC55FA2"/>
    <w:rsid w:val="5FD8653C"/>
    <w:rsid w:val="5FDA6B79"/>
    <w:rsid w:val="601520E1"/>
    <w:rsid w:val="602F1FDF"/>
    <w:rsid w:val="605F5CC8"/>
    <w:rsid w:val="60B239E0"/>
    <w:rsid w:val="612B2474"/>
    <w:rsid w:val="61502274"/>
    <w:rsid w:val="61B37B81"/>
    <w:rsid w:val="61C471A3"/>
    <w:rsid w:val="61F81BA0"/>
    <w:rsid w:val="624E2765"/>
    <w:rsid w:val="6286063A"/>
    <w:rsid w:val="629F134C"/>
    <w:rsid w:val="63195DF5"/>
    <w:rsid w:val="635F0AA4"/>
    <w:rsid w:val="63744B50"/>
    <w:rsid w:val="638A7801"/>
    <w:rsid w:val="638C30D9"/>
    <w:rsid w:val="63A155BF"/>
    <w:rsid w:val="653C6A80"/>
    <w:rsid w:val="656F177D"/>
    <w:rsid w:val="65FD6E01"/>
    <w:rsid w:val="66400F0D"/>
    <w:rsid w:val="669018C4"/>
    <w:rsid w:val="66CE004A"/>
    <w:rsid w:val="66FF49C2"/>
    <w:rsid w:val="67EE0F87"/>
    <w:rsid w:val="68094C3A"/>
    <w:rsid w:val="6825646F"/>
    <w:rsid w:val="682C280C"/>
    <w:rsid w:val="684C5F39"/>
    <w:rsid w:val="685779A2"/>
    <w:rsid w:val="685D01C5"/>
    <w:rsid w:val="68782B12"/>
    <w:rsid w:val="692D669A"/>
    <w:rsid w:val="695316BB"/>
    <w:rsid w:val="69590C7C"/>
    <w:rsid w:val="69635855"/>
    <w:rsid w:val="69971B44"/>
    <w:rsid w:val="69E479BE"/>
    <w:rsid w:val="6A484A87"/>
    <w:rsid w:val="6A93522A"/>
    <w:rsid w:val="6AB40CF4"/>
    <w:rsid w:val="6AF46499"/>
    <w:rsid w:val="6B2731A1"/>
    <w:rsid w:val="6B534A0D"/>
    <w:rsid w:val="6BA257E2"/>
    <w:rsid w:val="6BA82671"/>
    <w:rsid w:val="6C2A02DF"/>
    <w:rsid w:val="6C335886"/>
    <w:rsid w:val="6C913CF0"/>
    <w:rsid w:val="6CE116EB"/>
    <w:rsid w:val="6D2634A0"/>
    <w:rsid w:val="6D4113E3"/>
    <w:rsid w:val="6D491F96"/>
    <w:rsid w:val="6D4E4603"/>
    <w:rsid w:val="6DBF7283"/>
    <w:rsid w:val="6DC303DC"/>
    <w:rsid w:val="6E7F558E"/>
    <w:rsid w:val="6EA44903"/>
    <w:rsid w:val="6ECD5395"/>
    <w:rsid w:val="6F097333"/>
    <w:rsid w:val="6F267D5E"/>
    <w:rsid w:val="6FAD6CFC"/>
    <w:rsid w:val="6FB91DC2"/>
    <w:rsid w:val="704056F7"/>
    <w:rsid w:val="70DC792E"/>
    <w:rsid w:val="7172205D"/>
    <w:rsid w:val="72632102"/>
    <w:rsid w:val="727E228A"/>
    <w:rsid w:val="7289678B"/>
    <w:rsid w:val="728A4488"/>
    <w:rsid w:val="728B4494"/>
    <w:rsid w:val="72BC4E87"/>
    <w:rsid w:val="72D625DB"/>
    <w:rsid w:val="72E72287"/>
    <w:rsid w:val="73462AFF"/>
    <w:rsid w:val="74597AC4"/>
    <w:rsid w:val="74D82DF5"/>
    <w:rsid w:val="751623DF"/>
    <w:rsid w:val="75AE345C"/>
    <w:rsid w:val="75B3457D"/>
    <w:rsid w:val="763726A9"/>
    <w:rsid w:val="76D1652C"/>
    <w:rsid w:val="770E0732"/>
    <w:rsid w:val="770F419A"/>
    <w:rsid w:val="77171F9D"/>
    <w:rsid w:val="77A50841"/>
    <w:rsid w:val="77A517C7"/>
    <w:rsid w:val="7845735B"/>
    <w:rsid w:val="7847469D"/>
    <w:rsid w:val="78D9755A"/>
    <w:rsid w:val="79027079"/>
    <w:rsid w:val="79341F46"/>
    <w:rsid w:val="79590294"/>
    <w:rsid w:val="7969175C"/>
    <w:rsid w:val="7972647D"/>
    <w:rsid w:val="79780BD4"/>
    <w:rsid w:val="798763AE"/>
    <w:rsid w:val="7993425C"/>
    <w:rsid w:val="7A521717"/>
    <w:rsid w:val="7A9071C1"/>
    <w:rsid w:val="7A995E93"/>
    <w:rsid w:val="7AD76164"/>
    <w:rsid w:val="7B33107C"/>
    <w:rsid w:val="7B3431F3"/>
    <w:rsid w:val="7B52156E"/>
    <w:rsid w:val="7B7918CC"/>
    <w:rsid w:val="7BBC03A9"/>
    <w:rsid w:val="7BC93C26"/>
    <w:rsid w:val="7BCD3DD9"/>
    <w:rsid w:val="7C1D6D69"/>
    <w:rsid w:val="7C8668BF"/>
    <w:rsid w:val="7D300F22"/>
    <w:rsid w:val="7DA13A25"/>
    <w:rsid w:val="7DA55F7A"/>
    <w:rsid w:val="7E0109C9"/>
    <w:rsid w:val="7E114AD5"/>
    <w:rsid w:val="7E3C77F5"/>
    <w:rsid w:val="7EED60C5"/>
    <w:rsid w:val="7F5F577C"/>
    <w:rsid w:val="7F840F53"/>
    <w:rsid w:val="7FA846D4"/>
    <w:rsid w:val="7FD1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numPr>
        <w:ilvl w:val="0"/>
        <w:numId w:val="1"/>
      </w:numPr>
      <w:tabs>
        <w:tab w:val="left" w:pos="720"/>
      </w:tabs>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index 4"/>
    <w:basedOn w:val="1"/>
    <w:next w:val="1"/>
    <w:unhideWhenUsed/>
    <w:qFormat/>
    <w:uiPriority w:val="99"/>
    <w:pPr>
      <w:framePr w:hSpace="180" w:wrap="around" w:vAnchor="text" w:hAnchor="page" w:xAlign="center" w:y="387"/>
      <w:suppressOverlap/>
      <w:spacing w:line="360" w:lineRule="auto"/>
    </w:p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69"/>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440" w:lineRule="exact"/>
      <w:ind w:left="280" w:leftChars="100" w:right="-91" w:rightChars="-91"/>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qFormat/>
    <w:uiPriority w:val="0"/>
    <w:pPr>
      <w:widowControl w:val="0"/>
      <w:tabs>
        <w:tab w:val="clear" w:pos="1134"/>
      </w:tabs>
      <w:adjustRightInd/>
      <w:snapToGrid/>
      <w:spacing w:line="240" w:lineRule="auto"/>
    </w:pPr>
    <w:rPr>
      <w:rFonts w:eastAsia="宋体"/>
      <w:b/>
      <w:kern w:val="2"/>
      <w:sz w:val="21"/>
      <w:lang w:eastAsia="zh-CN"/>
    </w:r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qFormat/>
    <w:uiPriority w:val="0"/>
    <w:pPr>
      <w:spacing w:after="120" w:line="240" w:lineRule="auto"/>
      <w:ind w:left="420" w:leftChars="200" w:firstLine="420" w:firstLineChars="200"/>
    </w:pPr>
    <w:rPr>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position w:val="6"/>
      <w:sz w:val="14"/>
      <w:vertAlign w:val="superscript"/>
    </w:rPr>
  </w:style>
  <w:style w:type="character" w:customStyle="1" w:styleId="68">
    <w:name w:val="标题 2 字符"/>
    <w:link w:val="3"/>
    <w:qFormat/>
    <w:uiPriority w:val="0"/>
    <w:rPr>
      <w:rFonts w:ascii="宋体" w:hAnsi="宋体"/>
      <w:kern w:val="2"/>
      <w:sz w:val="28"/>
    </w:rPr>
  </w:style>
  <w:style w:type="character" w:customStyle="1" w:styleId="69">
    <w:name w:val="日期 字符"/>
    <w:link w:val="33"/>
    <w:qFormat/>
    <w:uiPriority w:val="0"/>
    <w:rPr>
      <w:kern w:val="2"/>
      <w:sz w:val="28"/>
    </w:rPr>
  </w:style>
  <w:style w:type="character" w:customStyle="1" w:styleId="70">
    <w:name w:val="样式 宋体"/>
    <w:qFormat/>
    <w:uiPriority w:val="0"/>
    <w:rPr>
      <w:rFonts w:ascii="宋体" w:hAnsi="宋体" w:eastAsia="宋体"/>
      <w:sz w:val="28"/>
    </w:rPr>
  </w:style>
  <w:style w:type="character" w:customStyle="1" w:styleId="71">
    <w:name w:val="Char Char5"/>
    <w:qFormat/>
    <w:uiPriority w:val="0"/>
    <w:rPr>
      <w:rFonts w:ascii="Arial" w:hAnsi="Arial" w:eastAsia="宋体"/>
      <w:b/>
      <w:smallCaps/>
      <w:kern w:val="28"/>
      <w:sz w:val="36"/>
      <w:lang w:val="en-US" w:eastAsia="en-US"/>
    </w:rPr>
  </w:style>
  <w:style w:type="character" w:customStyle="1" w:styleId="72">
    <w:name w:val="top-det1"/>
    <w:qFormat/>
    <w:uiPriority w:val="0"/>
    <w:rPr>
      <w:b/>
      <w:color w:val="000000"/>
    </w:rPr>
  </w:style>
  <w:style w:type="character" w:customStyle="1" w:styleId="73">
    <w:name w:val="font1"/>
    <w:qFormat/>
    <w:uiPriority w:val="0"/>
    <w:rPr>
      <w:color w:val="000000"/>
      <w:sz w:val="18"/>
    </w:rPr>
  </w:style>
  <w:style w:type="character" w:customStyle="1" w:styleId="74">
    <w:name w:val="标书正文:  0.74 厘米 Char1"/>
    <w:qFormat/>
    <w:uiPriority w:val="0"/>
    <w:rPr>
      <w:rFonts w:eastAsia="宋体"/>
      <w:kern w:val="2"/>
      <w:sz w:val="24"/>
      <w:lang w:val="en-US" w:eastAsia="zh-CN"/>
    </w:rPr>
  </w:style>
  <w:style w:type="character" w:customStyle="1" w:styleId="75">
    <w:name w:val="小 Char"/>
    <w:qFormat/>
    <w:uiPriority w:val="0"/>
    <w:rPr>
      <w:rFonts w:ascii="宋体" w:hAnsi="Courier New" w:eastAsia="宋体"/>
      <w:kern w:val="2"/>
      <w:sz w:val="21"/>
      <w:lang w:val="en-US" w:eastAsia="zh-CN" w:bidi="ar-SA"/>
    </w:rPr>
  </w:style>
  <w:style w:type="character" w:customStyle="1" w:styleId="76">
    <w:name w:val="Char Char"/>
    <w:qFormat/>
    <w:uiPriority w:val="0"/>
    <w:rPr>
      <w:rFonts w:ascii="宋体" w:hAnsi="宋体" w:eastAsia="宋体"/>
      <w:kern w:val="2"/>
      <w:sz w:val="24"/>
      <w:lang w:val="en-US" w:eastAsia="zh-CN" w:bidi="ar-SA"/>
    </w:rPr>
  </w:style>
  <w:style w:type="character" w:customStyle="1" w:styleId="77">
    <w:name w:val="Char Char2"/>
    <w:qFormat/>
    <w:uiPriority w:val="0"/>
    <w:rPr>
      <w:rFonts w:eastAsia="宋体"/>
      <w:kern w:val="2"/>
      <w:sz w:val="18"/>
      <w:lang w:val="en-US" w:eastAsia="zh-CN"/>
    </w:rPr>
  </w:style>
  <w:style w:type="character" w:customStyle="1" w:styleId="78">
    <w:name w:val="v151"/>
    <w:qFormat/>
    <w:uiPriority w:val="0"/>
    <w:rPr>
      <w:sz w:val="18"/>
    </w:rPr>
  </w:style>
  <w:style w:type="character" w:customStyle="1" w:styleId="79">
    <w:name w:val="Table Text Char"/>
    <w:qFormat/>
    <w:uiPriority w:val="0"/>
    <w:rPr>
      <w:rFonts w:ascii="Arial" w:hAnsi="Arial"/>
      <w:kern w:val="2"/>
      <w:sz w:val="18"/>
      <w:lang w:val="en-US" w:eastAsia="zh-CN" w:bidi="ar-SA"/>
    </w:rPr>
  </w:style>
  <w:style w:type="character" w:customStyle="1" w:styleId="80">
    <w:name w:val="未命名11"/>
    <w:qFormat/>
    <w:uiPriority w:val="0"/>
    <w:rPr>
      <w:color w:val="77FFFF"/>
      <w:sz w:val="24"/>
    </w:rPr>
  </w:style>
  <w:style w:type="character" w:customStyle="1" w:styleId="81">
    <w:name w:val="Table Text Char Char Char Char"/>
    <w:qFormat/>
    <w:uiPriority w:val="0"/>
    <w:rPr>
      <w:rFonts w:ascii="Arial" w:hAnsi="Arial"/>
      <w:kern w:val="2"/>
      <w:sz w:val="18"/>
      <w:lang w:val="en-US" w:eastAsia="zh-CN" w:bidi="ar-SA"/>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正文 + 三号 Char"/>
    <w:qFormat/>
    <w:uiPriority w:val="0"/>
    <w:rPr>
      <w:rFonts w:eastAsia="宋体"/>
      <w:kern w:val="2"/>
      <w:sz w:val="21"/>
      <w:lang w:val="en-US" w:eastAsia="zh-CN"/>
    </w:rPr>
  </w:style>
  <w:style w:type="character" w:customStyle="1" w:styleId="84">
    <w:name w:val="Char Char6"/>
    <w:qFormat/>
    <w:uiPriority w:val="0"/>
    <w:rPr>
      <w:rFonts w:ascii="仿宋_GB2312" w:eastAsia="仿宋_GB2312"/>
      <w:kern w:val="2"/>
      <w:sz w:val="32"/>
    </w:rPr>
  </w:style>
  <w:style w:type="character" w:customStyle="1" w:styleId="85">
    <w:name w:val="Table Text Char1 Char"/>
    <w:qFormat/>
    <w:uiPriority w:val="0"/>
    <w:rPr>
      <w:rFonts w:ascii="Arial" w:hAnsi="Arial"/>
      <w:kern w:val="2"/>
      <w:sz w:val="18"/>
      <w:lang w:val="en-US" w:eastAsia="zh-CN" w:bidi="ar-SA"/>
    </w:rPr>
  </w:style>
  <w:style w:type="character" w:customStyle="1" w:styleId="86">
    <w:name w:val="文字 Char"/>
    <w:link w:val="87"/>
    <w:qFormat/>
    <w:uiPriority w:val="0"/>
    <w:rPr>
      <w:rFonts w:ascii="宋体" w:eastAsia="宋体"/>
      <w:kern w:val="2"/>
      <w:sz w:val="28"/>
      <w:lang w:val="en-US" w:eastAsia="zh-CN" w:bidi="ar-SA"/>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Char Char7"/>
    <w:qFormat/>
    <w:uiPriority w:val="0"/>
    <w:rPr>
      <w:rFonts w:ascii="宋体" w:hAnsi="宋体" w:eastAsia="宋体"/>
      <w:kern w:val="2"/>
      <w:sz w:val="28"/>
    </w:rPr>
  </w:style>
  <w:style w:type="character" w:customStyle="1" w:styleId="89">
    <w:name w:val="content-white1"/>
    <w:qFormat/>
    <w:uiPriority w:val="0"/>
    <w:rPr>
      <w:rFonts w:ascii="_x000B__x000C_" w:hAnsi="_x000B__x000C_"/>
      <w:color w:val="auto"/>
      <w:sz w:val="18"/>
      <w:u w:val="none"/>
    </w:rPr>
  </w:style>
  <w:style w:type="character" w:customStyle="1" w:styleId="90">
    <w:name w:val="Char Char3"/>
    <w:qFormat/>
    <w:uiPriority w:val="0"/>
    <w:rPr>
      <w:rFonts w:eastAsia="宋体"/>
      <w:kern w:val="2"/>
      <w:sz w:val="18"/>
      <w:lang w:val="en-US" w:eastAsia="zh-CN"/>
    </w:rPr>
  </w:style>
  <w:style w:type="character" w:customStyle="1" w:styleId="91">
    <w:name w:val="crowed11"/>
    <w:qFormat/>
    <w:uiPriority w:val="0"/>
    <w:rPr>
      <w:rFonts w:hint="default" w:ascii="_x000B__x000C_" w:hAnsi="_x000B__x000C_"/>
      <w:sz w:val="24"/>
    </w:rPr>
  </w:style>
  <w:style w:type="character" w:customStyle="1" w:styleId="92">
    <w:name w:val="Char Char4"/>
    <w:qFormat/>
    <w:uiPriority w:val="0"/>
    <w:rPr>
      <w:rFonts w:eastAsia="宋体"/>
      <w:b/>
      <w:kern w:val="2"/>
      <w:sz w:val="21"/>
      <w:lang w:val="en-US" w:eastAsia="zh-CN"/>
    </w:rPr>
  </w:style>
  <w:style w:type="paragraph" w:customStyle="1" w:styleId="93">
    <w:name w:val="正文表格"/>
    <w:basedOn w:val="1"/>
    <w:qFormat/>
    <w:uiPriority w:val="0"/>
    <w:pPr>
      <w:adjustRightInd w:val="0"/>
      <w:spacing w:before="40" w:after="40"/>
    </w:pPr>
    <w:rPr>
      <w:sz w:val="24"/>
    </w:rPr>
  </w:style>
  <w:style w:type="paragraph" w:customStyle="1" w:styleId="94">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9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98">
    <w:name w:val="编号正文"/>
    <w:basedOn w:val="99"/>
    <w:qFormat/>
    <w:uiPriority w:val="0"/>
    <w:pPr>
      <w:snapToGrid/>
      <w:spacing w:line="360" w:lineRule="auto"/>
      <w:ind w:left="1407" w:hanging="1047"/>
      <w:jc w:val="left"/>
    </w:pPr>
    <w:rPr>
      <w:rFonts w:eastAsia="仿宋_GB2312"/>
    </w:rPr>
  </w:style>
  <w:style w:type="paragraph" w:customStyle="1" w:styleId="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0">
    <w:name w:val="关键词"/>
    <w:basedOn w:val="1"/>
    <w:next w:val="1"/>
    <w:qFormat/>
    <w:uiPriority w:val="0"/>
    <w:pPr>
      <w:spacing w:line="360" w:lineRule="auto"/>
    </w:pPr>
    <w:rPr>
      <w:rFonts w:eastAsia="黑体"/>
      <w:sz w:val="20"/>
    </w:rPr>
  </w:style>
  <w:style w:type="paragraph" w:customStyle="1" w:styleId="101">
    <w:name w:val="默认段落字体 Para Char Char Char Char Char Char Char"/>
    <w:basedOn w:val="1"/>
    <w:qFormat/>
    <w:uiPriority w:val="0"/>
    <w:rPr>
      <w:rFonts w:ascii="Tahoma" w:hAnsi="Tahoma"/>
      <w:sz w:val="24"/>
    </w:rPr>
  </w:style>
  <w:style w:type="paragraph" w:customStyle="1" w:styleId="102">
    <w:name w:val="Char1 Char Char Char"/>
    <w:basedOn w:val="1"/>
    <w:qFormat/>
    <w:uiPriority w:val="0"/>
    <w:rPr>
      <w:rFonts w:ascii="Tahoma" w:hAnsi="Tahoma"/>
      <w:sz w:val="21"/>
    </w:rPr>
  </w:style>
  <w:style w:type="paragraph" w:customStyle="1" w:styleId="103">
    <w:name w:val="标书正文:  0.74 厘米"/>
    <w:basedOn w:val="1"/>
    <w:qFormat/>
    <w:uiPriority w:val="0"/>
    <w:pPr>
      <w:snapToGrid w:val="0"/>
      <w:spacing w:line="360" w:lineRule="auto"/>
      <w:ind w:firstLine="420"/>
    </w:pPr>
    <w:rPr>
      <w:sz w:val="24"/>
    </w:rPr>
  </w:style>
  <w:style w:type="paragraph" w:customStyle="1" w:styleId="10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0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06">
    <w:name w:val="标题无"/>
    <w:basedOn w:val="1"/>
    <w:qFormat/>
    <w:uiPriority w:val="0"/>
    <w:pPr>
      <w:spacing w:line="360" w:lineRule="auto"/>
    </w:pPr>
    <w:rPr>
      <w:sz w:val="24"/>
    </w:rPr>
  </w:style>
  <w:style w:type="paragraph" w:customStyle="1" w:styleId="10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0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0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1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11">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4">
    <w:name w:val="文本框样式1"/>
    <w:basedOn w:val="1"/>
    <w:qFormat/>
    <w:uiPriority w:val="0"/>
    <w:pPr>
      <w:adjustRightInd w:val="0"/>
      <w:snapToGrid w:val="0"/>
      <w:spacing w:before="60" w:line="180" w:lineRule="exact"/>
      <w:jc w:val="center"/>
    </w:pPr>
    <w:rPr>
      <w:sz w:val="21"/>
    </w:rPr>
  </w:style>
  <w:style w:type="paragraph" w:customStyle="1" w:styleId="115">
    <w:name w:val="列表项目"/>
    <w:basedOn w:val="1"/>
    <w:qFormat/>
    <w:uiPriority w:val="0"/>
    <w:pPr>
      <w:numPr>
        <w:ilvl w:val="0"/>
        <w:numId w:val="7"/>
      </w:numPr>
      <w:tabs>
        <w:tab w:val="left" w:pos="420"/>
        <w:tab w:val="clear" w:pos="980"/>
      </w:tabs>
      <w:spacing w:line="288" w:lineRule="auto"/>
      <w:ind w:left="840" w:leftChars="200" w:hanging="420" w:hangingChars="200"/>
    </w:pPr>
    <w:rPr>
      <w:sz w:val="21"/>
    </w:rPr>
  </w:style>
  <w:style w:type="paragraph" w:customStyle="1" w:styleId="11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17">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8">
    <w:name w:val="Char1"/>
    <w:basedOn w:val="1"/>
    <w:qFormat/>
    <w:uiPriority w:val="0"/>
    <w:rPr>
      <w:sz w:val="21"/>
    </w:rPr>
  </w:style>
  <w:style w:type="paragraph" w:customStyle="1" w:styleId="119">
    <w:name w:val="1.正文"/>
    <w:basedOn w:val="1"/>
    <w:qFormat/>
    <w:uiPriority w:val="0"/>
    <w:pPr>
      <w:spacing w:line="360" w:lineRule="auto"/>
      <w:ind w:left="540" w:leftChars="225" w:firstLine="540" w:firstLineChars="225"/>
    </w:pPr>
    <w:rPr>
      <w:sz w:val="24"/>
    </w:rPr>
  </w:style>
  <w:style w:type="paragraph" w:customStyle="1" w:styleId="120">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23">
    <w:name w:val="标准正文"/>
    <w:basedOn w:val="23"/>
    <w:qFormat/>
    <w:uiPriority w:val="0"/>
    <w:pPr>
      <w:spacing w:before="60" w:after="60" w:line="360" w:lineRule="auto"/>
      <w:ind w:left="0" w:firstLine="482"/>
    </w:pPr>
    <w:rPr>
      <w:rFonts w:ascii="Arial" w:hAnsi="Arial"/>
      <w:sz w:val="24"/>
    </w:rPr>
  </w:style>
  <w:style w:type="paragraph" w:customStyle="1" w:styleId="124">
    <w:name w:val="标题3——2"/>
    <w:basedOn w:val="4"/>
    <w:next w:val="56"/>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25">
    <w:name w:val="二级列表"/>
    <w:basedOn w:val="126"/>
    <w:next w:val="126"/>
    <w:qFormat/>
    <w:uiPriority w:val="0"/>
    <w:pPr>
      <w:tabs>
        <w:tab w:val="left" w:pos="2120"/>
      </w:tabs>
      <w:ind w:firstLine="0" w:firstLineChars="0"/>
    </w:pPr>
    <w:rPr>
      <w:b/>
    </w:rPr>
  </w:style>
  <w:style w:type="paragraph" w:customStyle="1" w:styleId="126">
    <w:name w:val="段落正文"/>
    <w:basedOn w:val="1"/>
    <w:qFormat/>
    <w:uiPriority w:val="0"/>
    <w:pPr>
      <w:spacing w:before="156" w:beforeLines="50" w:line="360" w:lineRule="auto"/>
      <w:ind w:firstLine="200" w:firstLineChars="200"/>
    </w:pPr>
    <w:rPr>
      <w:spacing w:val="2"/>
      <w:sz w:val="24"/>
    </w:rPr>
  </w:style>
  <w:style w:type="paragraph" w:customStyle="1" w:styleId="1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9">
    <w:name w:val="简单回函地址"/>
    <w:basedOn w:val="1"/>
    <w:qFormat/>
    <w:uiPriority w:val="0"/>
    <w:pPr>
      <w:adjustRightInd w:val="0"/>
      <w:snapToGrid w:val="0"/>
      <w:spacing w:line="360" w:lineRule="auto"/>
    </w:pPr>
    <w:rPr>
      <w:sz w:val="24"/>
    </w:rPr>
  </w:style>
  <w:style w:type="paragraph" w:customStyle="1" w:styleId="13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1"/>
    <w:basedOn w:val="1"/>
    <w:qFormat/>
    <w:uiPriority w:val="0"/>
    <w:rPr>
      <w:rFonts w:ascii="Tahoma" w:hAnsi="Tahoma"/>
      <w:sz w:val="24"/>
    </w:rPr>
  </w:style>
  <w:style w:type="paragraph" w:customStyle="1" w:styleId="133">
    <w:name w:val="Title - Revision"/>
    <w:basedOn w:val="54"/>
    <w:qFormat/>
    <w:uiPriority w:val="0"/>
    <w:pPr>
      <w:spacing w:before="720"/>
    </w:pPr>
  </w:style>
  <w:style w:type="paragraph" w:customStyle="1" w:styleId="13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5">
    <w:name w:val="样式1xz"/>
    <w:basedOn w:val="1"/>
    <w:qFormat/>
    <w:uiPriority w:val="0"/>
    <w:pPr>
      <w:tabs>
        <w:tab w:val="left" w:pos="1050"/>
        <w:tab w:val="right" w:leader="dot" w:pos="8296"/>
      </w:tabs>
    </w:pPr>
    <w:rPr>
      <w:caps/>
      <w:spacing w:val="20"/>
      <w:sz w:val="24"/>
    </w:rPr>
  </w:style>
  <w:style w:type="paragraph" w:customStyle="1" w:styleId="136">
    <w:name w:val="Style Heading 3h3Heading 3 - oldLevel 3 HeadH3level_3PIM 3se..."/>
    <w:basedOn w:val="4"/>
    <w:qFormat/>
    <w:uiPriority w:val="0"/>
    <w:pPr>
      <w:numPr>
        <w:ilvl w:val="2"/>
        <w:numId w:val="10"/>
      </w:numPr>
      <w:jc w:val="both"/>
    </w:pPr>
    <w:rPr>
      <w:sz w:val="32"/>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0">
    <w:name w:val="Char"/>
    <w:basedOn w:val="1"/>
    <w:qFormat/>
    <w:uiPriority w:val="0"/>
    <w:pPr>
      <w:widowControl/>
      <w:spacing w:line="400" w:lineRule="exact"/>
      <w:jc w:val="center"/>
    </w:pPr>
    <w:rPr>
      <w:sz w:val="24"/>
    </w:rPr>
  </w:style>
  <w:style w:type="paragraph" w:customStyle="1" w:styleId="141">
    <w:name w:val="文本1"/>
    <w:basedOn w:val="1"/>
    <w:qFormat/>
    <w:uiPriority w:val="0"/>
    <w:pPr>
      <w:adjustRightInd w:val="0"/>
      <w:spacing w:line="312" w:lineRule="atLeast"/>
      <w:jc w:val="center"/>
      <w:textAlignment w:val="baseline"/>
    </w:pPr>
    <w:rPr>
      <w:kern w:val="0"/>
      <w:sz w:val="18"/>
    </w:rPr>
  </w:style>
  <w:style w:type="paragraph" w:customStyle="1" w:styleId="142">
    <w:name w:val="样式 标题 1 + 居中 段前: 6 磅 段后: 6 磅 行距: 1.5 倍行距"/>
    <w:basedOn w:val="2"/>
    <w:qFormat/>
    <w:uiPriority w:val="0"/>
    <w:pPr>
      <w:keepLines/>
      <w:tabs>
        <w:tab w:val="clear" w:pos="3360"/>
      </w:tabs>
      <w:adjustRightInd w:val="0"/>
      <w:spacing w:before="120" w:beforeLines="0" w:line="360" w:lineRule="auto"/>
    </w:pPr>
    <w:rPr>
      <w:rFonts w:eastAsia="宋体"/>
      <w:b/>
      <w:kern w:val="44"/>
      <w:sz w:val="32"/>
    </w:rPr>
  </w:style>
  <w:style w:type="paragraph" w:customStyle="1" w:styleId="143">
    <w:name w:val="00"/>
    <w:basedOn w:val="1"/>
    <w:qFormat/>
    <w:uiPriority w:val="0"/>
    <w:pPr>
      <w:autoSpaceDE w:val="0"/>
      <w:autoSpaceDN w:val="0"/>
      <w:adjustRightInd w:val="0"/>
      <w:jc w:val="left"/>
    </w:pPr>
    <w:rPr>
      <w:rFonts w:ascii="黑体" w:eastAsia="黑体"/>
      <w:b/>
      <w:kern w:val="0"/>
      <w:sz w:val="20"/>
    </w:rPr>
  </w:style>
  <w:style w:type="paragraph" w:customStyle="1" w:styleId="144">
    <w:name w:val="图例"/>
    <w:basedOn w:val="1"/>
    <w:qFormat/>
    <w:uiPriority w:val="0"/>
    <w:pPr>
      <w:spacing w:before="120" w:after="120" w:line="360" w:lineRule="auto"/>
      <w:jc w:val="center"/>
    </w:pPr>
    <w:rPr>
      <w:rFonts w:eastAsia="仿宋_GB2312"/>
      <w:b/>
      <w:sz w:val="24"/>
    </w:rPr>
  </w:style>
  <w:style w:type="paragraph" w:customStyle="1" w:styleId="14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6">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after="330" w:afterLines="0" w:line="578" w:lineRule="atLeast"/>
      <w:jc w:val="both"/>
      <w:textAlignment w:val="bottom"/>
    </w:pPr>
    <w:rPr>
      <w:rFonts w:ascii="宋体" w:hAnsi="宋体"/>
      <w:b/>
      <w:kern w:val="44"/>
      <w:sz w:val="36"/>
    </w:rPr>
  </w:style>
  <w:style w:type="paragraph" w:customStyle="1" w:styleId="147">
    <w:name w:val="样式3"/>
    <w:basedOn w:val="2"/>
    <w:next w:val="2"/>
    <w:qFormat/>
    <w:uiPriority w:val="0"/>
    <w:pPr>
      <w:keepLines/>
      <w:tabs>
        <w:tab w:val="clear" w:pos="3360"/>
      </w:tabs>
      <w:adjustRightInd w:val="0"/>
      <w:spacing w:before="340" w:beforeLines="0" w:after="330" w:afterLines="0" w:line="576" w:lineRule="auto"/>
      <w:jc w:val="both"/>
    </w:pPr>
    <w:rPr>
      <w:b/>
      <w:kern w:val="44"/>
    </w:rPr>
  </w:style>
  <w:style w:type="paragraph" w:customStyle="1" w:styleId="148">
    <w:name w:val="正文字缩2字"/>
    <w:basedOn w:val="1"/>
    <w:qFormat/>
    <w:uiPriority w:val="0"/>
    <w:pPr>
      <w:spacing w:before="60" w:after="60" w:line="360" w:lineRule="auto"/>
      <w:ind w:left="200" w:leftChars="200" w:firstLine="200" w:firstLineChars="200"/>
    </w:pPr>
    <w:rPr>
      <w:sz w:val="24"/>
    </w:rPr>
  </w:style>
  <w:style w:type="paragraph" w:customStyle="1" w:styleId="149">
    <w:name w:val="Char1 Char Char Char1"/>
    <w:basedOn w:val="1"/>
    <w:qFormat/>
    <w:uiPriority w:val="0"/>
    <w:rPr>
      <w:rFonts w:ascii="Tahoma" w:hAnsi="Tahoma"/>
      <w:sz w:val="24"/>
    </w:rPr>
  </w:style>
  <w:style w:type="paragraph" w:customStyle="1" w:styleId="15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2">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3">
    <w:name w:val="样式1"/>
    <w:basedOn w:val="5"/>
    <w:qFormat/>
    <w:uiPriority w:val="0"/>
    <w:pPr>
      <w:spacing w:before="500" w:after="260" w:line="560" w:lineRule="atLeast"/>
    </w:pPr>
  </w:style>
  <w:style w:type="paragraph" w:customStyle="1" w:styleId="154">
    <w:name w:val="Char2"/>
    <w:basedOn w:val="1"/>
    <w:qFormat/>
    <w:uiPriority w:val="0"/>
    <w:pPr>
      <w:spacing w:line="240" w:lineRule="atLeast"/>
      <w:ind w:left="420" w:firstLine="420"/>
    </w:pPr>
    <w:rPr>
      <w:kern w:val="0"/>
      <w:sz w:val="21"/>
    </w:rPr>
  </w:style>
  <w:style w:type="paragraph" w:customStyle="1" w:styleId="15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6">
    <w:name w:val="没有缩进（为图形使用）"/>
    <w:basedOn w:val="1"/>
    <w:qFormat/>
    <w:uiPriority w:val="0"/>
    <w:pPr>
      <w:spacing w:before="120" w:after="120" w:line="360" w:lineRule="auto"/>
    </w:pPr>
    <w:rPr>
      <w:sz w:val="24"/>
    </w:rPr>
  </w:style>
  <w:style w:type="paragraph" w:customStyle="1" w:styleId="157">
    <w:name w:val="样式 宋体 五号 行距: 单倍行距"/>
    <w:basedOn w:val="1"/>
    <w:qFormat/>
    <w:uiPriority w:val="0"/>
    <w:pPr>
      <w:adjustRightInd w:val="0"/>
      <w:jc w:val="left"/>
    </w:pPr>
    <w:rPr>
      <w:rFonts w:ascii="宋体" w:hAnsi="宋体"/>
      <w:kern w:val="0"/>
      <w:sz w:val="21"/>
    </w:rPr>
  </w:style>
  <w:style w:type="paragraph" w:customStyle="1" w:styleId="15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摘要"/>
    <w:basedOn w:val="1"/>
    <w:next w:val="3"/>
    <w:qFormat/>
    <w:uiPriority w:val="0"/>
    <w:pPr>
      <w:spacing w:line="360" w:lineRule="auto"/>
    </w:pPr>
    <w:rPr>
      <w:rFonts w:eastAsia="黑体"/>
      <w:sz w:val="20"/>
    </w:rPr>
  </w:style>
  <w:style w:type="paragraph" w:customStyle="1" w:styleId="160">
    <w:name w:val="图片文字"/>
    <w:basedOn w:val="1"/>
    <w:qFormat/>
    <w:uiPriority w:val="0"/>
    <w:pPr>
      <w:spacing w:line="240" w:lineRule="atLeast"/>
      <w:jc w:val="center"/>
    </w:pPr>
    <w:rPr>
      <w:sz w:val="21"/>
    </w:rPr>
  </w:style>
  <w:style w:type="paragraph" w:customStyle="1" w:styleId="161">
    <w:name w:val="首行缩进 1"/>
    <w:basedOn w:val="1"/>
    <w:qFormat/>
    <w:uiPriority w:val="0"/>
    <w:pPr>
      <w:spacing w:after="120" w:line="360" w:lineRule="auto"/>
      <w:ind w:firstLine="200" w:firstLineChars="200"/>
    </w:pPr>
    <w:rPr>
      <w:sz w:val="24"/>
    </w:rPr>
  </w:style>
  <w:style w:type="paragraph" w:customStyle="1" w:styleId="162">
    <w:name w:val="正文4"/>
    <w:basedOn w:val="1"/>
    <w:qFormat/>
    <w:uiPriority w:val="0"/>
    <w:pPr>
      <w:tabs>
        <w:tab w:val="left" w:pos="1275"/>
      </w:tabs>
      <w:spacing w:before="60" w:after="60" w:line="360" w:lineRule="auto"/>
      <w:ind w:left="820" w:leftChars="400" w:hanging="705"/>
    </w:pPr>
    <w:rPr>
      <w:sz w:val="24"/>
    </w:rPr>
  </w:style>
  <w:style w:type="paragraph" w:customStyle="1" w:styleId="163">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4">
    <w:name w:val="正文文本 21"/>
    <w:basedOn w:val="1"/>
    <w:qFormat/>
    <w:uiPriority w:val="0"/>
    <w:pPr>
      <w:adjustRightInd w:val="0"/>
      <w:spacing w:before="120" w:line="360" w:lineRule="auto"/>
      <w:ind w:firstLine="480"/>
      <w:textAlignment w:val="baseline"/>
    </w:pPr>
    <w:rPr>
      <w:sz w:val="24"/>
    </w:rPr>
  </w:style>
  <w:style w:type="paragraph" w:customStyle="1" w:styleId="165">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表格文本"/>
    <w:qFormat/>
    <w:uiPriority w:val="0"/>
    <w:pPr>
      <w:tabs>
        <w:tab w:val="decimal" w:pos="0"/>
      </w:tabs>
    </w:pPr>
    <w:rPr>
      <w:rFonts w:ascii="Arial" w:hAnsi="Arial" w:eastAsia="宋体" w:cs="Times New Roman"/>
      <w:sz w:val="21"/>
      <w:lang w:val="en-US" w:eastAsia="zh-CN" w:bidi="ar-SA"/>
    </w:rPr>
  </w:style>
  <w:style w:type="paragraph" w:customStyle="1" w:styleId="167">
    <w:name w:val="默认段落字体 Para Char Char Char Char Char Char Char Char Char1 Char Char Char Char"/>
    <w:basedOn w:val="1"/>
    <w:qFormat/>
    <w:uiPriority w:val="0"/>
    <w:rPr>
      <w:rFonts w:ascii="Tahoma" w:hAnsi="Tahoma"/>
      <w:sz w:val="24"/>
    </w:rPr>
  </w:style>
  <w:style w:type="paragraph" w:customStyle="1" w:styleId="168">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16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样式 行距: 1.5 倍行距1"/>
    <w:basedOn w:val="1"/>
    <w:qFormat/>
    <w:uiPriority w:val="0"/>
    <w:pPr>
      <w:snapToGrid w:val="0"/>
    </w:pPr>
    <w:rPr>
      <w:sz w:val="21"/>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内容标题"/>
    <w:basedOn w:val="17"/>
    <w:qFormat/>
    <w:uiPriority w:val="0"/>
    <w:rPr>
      <w:rFonts w:ascii="Tahoma" w:hAnsi="Tahoma"/>
      <w:sz w:val="24"/>
    </w:rPr>
  </w:style>
  <w:style w:type="paragraph" w:customStyle="1" w:styleId="173">
    <w:name w:val="样式2"/>
    <w:basedOn w:val="5"/>
    <w:qFormat/>
    <w:uiPriority w:val="0"/>
    <w:pPr>
      <w:numPr>
        <w:ilvl w:val="0"/>
        <w:numId w:val="14"/>
      </w:numPr>
      <w:spacing w:line="400" w:lineRule="exact"/>
      <w:jc w:val="center"/>
      <w:outlineLvl w:val="0"/>
    </w:pPr>
    <w:rPr>
      <w:b w:val="0"/>
      <w:sz w:val="44"/>
    </w:rPr>
  </w:style>
  <w:style w:type="paragraph" w:customStyle="1" w:styleId="174">
    <w:name w:val="标题2"/>
    <w:basedOn w:val="3"/>
    <w:qFormat/>
    <w:uiPriority w:val="0"/>
    <w:pPr>
      <w:keepNext w:val="0"/>
      <w:keepLines w:val="0"/>
      <w:ind w:firstLine="574" w:firstLineChars="196"/>
      <w:outlineLvl w:val="9"/>
    </w:pPr>
    <w:rPr>
      <w:b/>
      <w:spacing w:val="6"/>
      <w:u w:val="single"/>
    </w:rPr>
  </w:style>
  <w:style w:type="paragraph" w:customStyle="1" w:styleId="175">
    <w:name w:val="IN Feature"/>
    <w:next w:val="9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Char Char1 Char"/>
    <w:basedOn w:val="1"/>
    <w:qFormat/>
    <w:uiPriority w:val="0"/>
    <w:rPr>
      <w:rFonts w:ascii="Tahoma" w:hAnsi="Tahoma"/>
      <w:sz w:val="24"/>
      <w:szCs w:val="24"/>
    </w:rPr>
  </w:style>
  <w:style w:type="paragraph" w:customStyle="1" w:styleId="178">
    <w:name w:val="Title - Date"/>
    <w:basedOn w:val="54"/>
    <w:next w:val="1"/>
    <w:qFormat/>
    <w:uiPriority w:val="0"/>
    <w:pPr>
      <w:spacing w:before="240" w:after="720"/>
    </w:pPr>
    <w:rPr>
      <w:sz w:val="28"/>
    </w:rPr>
  </w:style>
  <w:style w:type="paragraph" w:customStyle="1" w:styleId="179">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0">
    <w:name w:val="文章正文"/>
    <w:basedOn w:val="1"/>
    <w:qFormat/>
    <w:uiPriority w:val="0"/>
    <w:pPr>
      <w:ind w:firstLine="560" w:firstLineChars="200"/>
    </w:pPr>
    <w:rPr>
      <w:rFonts w:ascii="仿宋_GB2312" w:hAnsi="宋体" w:eastAsia="仿宋_GB2312"/>
      <w:color w:val="000000"/>
    </w:rPr>
  </w:style>
  <w:style w:type="paragraph" w:customStyle="1" w:styleId="181">
    <w:name w:val="Char Char Char"/>
    <w:basedOn w:val="1"/>
    <w:qFormat/>
    <w:uiPriority w:val="0"/>
    <w:rPr>
      <w:rFonts w:ascii="Tahoma" w:hAnsi="Tahoma"/>
      <w:sz w:val="24"/>
    </w:rPr>
  </w:style>
  <w:style w:type="paragraph" w:customStyle="1" w:styleId="182">
    <w:name w:val="样式4"/>
    <w:basedOn w:val="5"/>
    <w:qFormat/>
    <w:uiPriority w:val="0"/>
    <w:pPr>
      <w:numPr>
        <w:numId w:val="0"/>
      </w:numPr>
      <w:adjustRightInd w:val="0"/>
      <w:snapToGrid w:val="0"/>
      <w:spacing w:before="280" w:line="372" w:lineRule="auto"/>
    </w:pPr>
  </w:style>
  <w:style w:type="paragraph" w:customStyle="1" w:styleId="1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5">
    <w:name w:val="正文（首行不缩进）"/>
    <w:basedOn w:val="1"/>
    <w:qFormat/>
    <w:uiPriority w:val="0"/>
    <w:pPr>
      <w:autoSpaceDE w:val="0"/>
      <w:autoSpaceDN w:val="0"/>
      <w:adjustRightInd w:val="0"/>
      <w:spacing w:line="360" w:lineRule="auto"/>
      <w:jc w:val="left"/>
    </w:pPr>
    <w:rPr>
      <w:kern w:val="0"/>
      <w:sz w:val="21"/>
    </w:rPr>
  </w:style>
  <w:style w:type="paragraph" w:customStyle="1" w:styleId="186">
    <w:name w:val="Item Step in Table"/>
    <w:qFormat/>
    <w:uiPriority w:val="0"/>
    <w:pPr>
      <w:numPr>
        <w:ilvl w:val="0"/>
        <w:numId w:val="15"/>
      </w:numPr>
      <w:spacing w:before="40" w:after="40"/>
      <w:jc w:val="both"/>
    </w:pPr>
    <w:rPr>
      <w:rFonts w:ascii="Arial" w:hAnsi="Arial" w:eastAsia="宋体" w:cs="Times New Roman"/>
      <w:sz w:val="18"/>
      <w:lang w:val="en-US" w:eastAsia="zh-CN" w:bidi="ar-SA"/>
    </w:rPr>
  </w:style>
  <w:style w:type="paragraph" w:customStyle="1" w:styleId="187">
    <w:name w:val="_Style 186"/>
    <w:qFormat/>
    <w:uiPriority w:val="0"/>
    <w:rPr>
      <w:rFonts w:ascii="Times New Roman" w:hAnsi="Times New Roman" w:eastAsia="宋体" w:cs="Times New Roman"/>
      <w:kern w:val="2"/>
      <w:sz w:val="21"/>
      <w:lang w:val="en-US" w:eastAsia="zh-CN" w:bidi="ar-SA"/>
    </w:rPr>
  </w:style>
  <w:style w:type="paragraph" w:customStyle="1" w:styleId="18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9">
    <w:name w:val="Char Char Char Char Char"/>
    <w:basedOn w:val="1"/>
    <w:qFormat/>
    <w:uiPriority w:val="0"/>
    <w:pPr>
      <w:numPr>
        <w:ilvl w:val="0"/>
        <w:numId w:val="10"/>
      </w:numPr>
    </w:pPr>
    <w:rPr>
      <w:rFonts w:ascii="Tahoma" w:hAnsi="Tahoma"/>
      <w:sz w:val="24"/>
    </w:rPr>
  </w:style>
  <w:style w:type="paragraph" w:customStyle="1" w:styleId="19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1">
    <w:name w:val="表格内文字"/>
    <w:basedOn w:val="31"/>
    <w:qFormat/>
    <w:uiPriority w:val="0"/>
    <w:pPr>
      <w:snapToGrid/>
      <w:spacing w:line="240" w:lineRule="auto"/>
    </w:pPr>
    <w:rPr>
      <w:color w:val="000000"/>
      <w:lang w:val="en-GB"/>
    </w:rPr>
  </w:style>
  <w:style w:type="paragraph" w:customStyle="1" w:styleId="192">
    <w:name w:val="正文1"/>
    <w:basedOn w:val="1"/>
    <w:qFormat/>
    <w:uiPriority w:val="0"/>
    <w:pPr>
      <w:spacing w:line="300" w:lineRule="auto"/>
      <w:ind w:firstLine="200" w:firstLineChars="200"/>
    </w:pPr>
    <w:rPr>
      <w:sz w:val="24"/>
    </w:rPr>
  </w:style>
  <w:style w:type="paragraph" w:customStyle="1" w:styleId="19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95">
    <w:name w:val="表文字"/>
    <w:qFormat/>
    <w:uiPriority w:val="0"/>
    <w:rPr>
      <w:rFonts w:ascii="宋体" w:hAnsi="Times New Roman" w:eastAsia="宋体" w:cs="Times New Roman"/>
      <w:kern w:val="2"/>
      <w:lang w:val="en-US" w:eastAsia="zh-CN" w:bidi="ar-SA"/>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正文 + 三号"/>
    <w:basedOn w:val="1"/>
    <w:qFormat/>
    <w:uiPriority w:val="0"/>
    <w:rPr>
      <w:sz w:val="21"/>
    </w:rPr>
  </w:style>
  <w:style w:type="paragraph" w:customStyle="1" w:styleId="199">
    <w:name w:val="表头文本"/>
    <w:qFormat/>
    <w:uiPriority w:val="0"/>
    <w:pPr>
      <w:jc w:val="center"/>
    </w:pPr>
    <w:rPr>
      <w:rFonts w:ascii="Arial" w:hAnsi="Arial" w:eastAsia="宋体" w:cs="Times New Roman"/>
      <w:b/>
      <w:sz w:val="21"/>
      <w:lang w:val="en-US" w:eastAsia="zh-CN" w:bidi="ar-SA"/>
    </w:rPr>
  </w:style>
  <w:style w:type="paragraph" w:customStyle="1" w:styleId="20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Table Contents"/>
    <w:basedOn w:val="22"/>
    <w:qFormat/>
    <w:uiPriority w:val="0"/>
    <w:pPr>
      <w:suppressAutoHyphens/>
      <w:jc w:val="left"/>
    </w:pPr>
    <w:rPr>
      <w:rFonts w:ascii="Times New Roman" w:eastAsia="Times New Roman"/>
      <w:kern w:val="0"/>
      <w:sz w:val="24"/>
    </w:rPr>
  </w:style>
  <w:style w:type="paragraph" w:customStyle="1" w:styleId="202">
    <w:name w:val="Char Char 字元 字元 字元 Char Char Char Char"/>
    <w:basedOn w:val="1"/>
    <w:qFormat/>
    <w:uiPriority w:val="0"/>
    <w:pPr>
      <w:adjustRightInd w:val="0"/>
      <w:spacing w:line="360" w:lineRule="auto"/>
    </w:pPr>
    <w:rPr>
      <w:kern w:val="0"/>
      <w:sz w:val="24"/>
    </w:rPr>
  </w:style>
  <w:style w:type="paragraph" w:customStyle="1" w:styleId="203">
    <w:name w:val="Char Char Char Char Char Char Char1"/>
    <w:basedOn w:val="17"/>
    <w:qFormat/>
    <w:uiPriority w:val="0"/>
    <w:rPr>
      <w:rFonts w:ascii="宋体" w:hAnsi="Tahoma"/>
    </w:rPr>
  </w:style>
  <w:style w:type="paragraph" w:customStyle="1" w:styleId="20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5">
    <w:name w:val="附录3"/>
    <w:basedOn w:val="1"/>
    <w:next w:val="1"/>
    <w:qFormat/>
    <w:uiPriority w:val="0"/>
    <w:pPr>
      <w:tabs>
        <w:tab w:val="left" w:pos="851"/>
      </w:tabs>
      <w:ind w:left="425" w:hanging="425"/>
      <w:outlineLvl w:val="2"/>
    </w:pPr>
    <w:rPr>
      <w:rFonts w:eastAsia="黑体"/>
      <w:b/>
      <w:sz w:val="32"/>
    </w:rPr>
  </w:style>
  <w:style w:type="paragraph" w:customStyle="1" w:styleId="206">
    <w:name w:val="表头样式"/>
    <w:basedOn w:val="1"/>
    <w:qFormat/>
    <w:uiPriority w:val="0"/>
    <w:pPr>
      <w:autoSpaceDE w:val="0"/>
      <w:autoSpaceDN w:val="0"/>
      <w:adjustRightInd w:val="0"/>
      <w:spacing w:line="360" w:lineRule="auto"/>
      <w:jc w:val="left"/>
    </w:pPr>
    <w:rPr>
      <w:b/>
      <w:kern w:val="0"/>
      <w:sz w:val="21"/>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样式 正文缩进正文（首行缩进两字）表正文正文非缩进特点标题4段1 + 首行缩进:  2 字符"/>
    <w:basedOn w:val="15"/>
    <w:qFormat/>
    <w:uiPriority w:val="0"/>
    <w:pPr>
      <w:ind w:firstLine="480" w:firstLineChars="200"/>
    </w:pPr>
  </w:style>
  <w:style w:type="paragraph" w:customStyle="1" w:styleId="210">
    <w:name w:val="Note"/>
    <w:basedOn w:val="1"/>
    <w:qFormat/>
    <w:uiPriority w:val="0"/>
    <w:pPr>
      <w:pBdr>
        <w:top w:val="single" w:color="auto" w:sz="12" w:space="3"/>
        <w:bottom w:val="single" w:color="auto" w:sz="12" w:space="3"/>
      </w:pBdr>
      <w:spacing w:line="360" w:lineRule="auto"/>
    </w:pPr>
    <w:rPr>
      <w:sz w:val="24"/>
    </w:rPr>
  </w:style>
  <w:style w:type="paragraph" w:customStyle="1" w:styleId="21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2">
    <w:name w:val="首行缩进"/>
    <w:basedOn w:val="1"/>
    <w:qFormat/>
    <w:uiPriority w:val="0"/>
    <w:pPr>
      <w:spacing w:line="360" w:lineRule="auto"/>
      <w:ind w:firstLine="420" w:firstLineChars="200"/>
    </w:pPr>
    <w:rPr>
      <w:sz w:val="21"/>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5">
    <w:name w:val="home"/>
    <w:basedOn w:val="1"/>
    <w:qFormat/>
    <w:uiPriority w:val="0"/>
    <w:pPr>
      <w:widowControl/>
      <w:spacing w:before="100" w:beforeAutospacing="1" w:after="100" w:afterAutospacing="1"/>
      <w:jc w:val="left"/>
    </w:pPr>
    <w:rPr>
      <w:rFonts w:ascii="宋体" w:hAnsi="宋体" w:cs="宋体"/>
      <w:kern w:val="0"/>
      <w:sz w:val="24"/>
      <w:szCs w:val="24"/>
    </w:rPr>
  </w:style>
  <w:style w:type="paragraph" w:styleId="216">
    <w:name w:val="List Paragraph"/>
    <w:basedOn w:val="1"/>
    <w:link w:val="217"/>
    <w:qFormat/>
    <w:uiPriority w:val="34"/>
    <w:pPr>
      <w:spacing w:line="360" w:lineRule="auto"/>
      <w:ind w:firstLine="420" w:firstLineChars="200"/>
    </w:pPr>
    <w:rPr>
      <w:rFonts w:ascii="Arial" w:hAnsi="Arial"/>
      <w:sz w:val="24"/>
    </w:rPr>
  </w:style>
  <w:style w:type="character" w:customStyle="1" w:styleId="217">
    <w:name w:val="列表段落 字符"/>
    <w:link w:val="216"/>
    <w:qFormat/>
    <w:uiPriority w:val="34"/>
    <w:rPr>
      <w:rFonts w:ascii="Arial" w:hAnsi="Arial"/>
      <w:kern w:val="2"/>
      <w:sz w:val="24"/>
    </w:rPr>
  </w:style>
  <w:style w:type="character" w:customStyle="1" w:styleId="218">
    <w:name w:val="样式 正文缩进 + 首行缩进:  2 字符 Char"/>
    <w:link w:val="219"/>
    <w:qFormat/>
    <w:uiPriority w:val="0"/>
    <w:rPr>
      <w:rFonts w:cs="宋体"/>
      <w:kern w:val="2"/>
      <w:sz w:val="24"/>
    </w:rPr>
  </w:style>
  <w:style w:type="paragraph" w:customStyle="1" w:styleId="219">
    <w:name w:val="样式 正文缩进 + 首行缩进:  2 字符"/>
    <w:basedOn w:val="15"/>
    <w:link w:val="218"/>
    <w:qFormat/>
    <w:uiPriority w:val="0"/>
    <w:pPr>
      <w:adjustRightInd/>
      <w:snapToGrid/>
      <w:ind w:firstLine="200" w:firstLineChars="200"/>
    </w:pPr>
  </w:style>
  <w:style w:type="character" w:customStyle="1" w:styleId="220">
    <w:name w:val="方案正文 Char"/>
    <w:link w:val="221"/>
    <w:qFormat/>
    <w:locked/>
    <w:uiPriority w:val="0"/>
    <w:rPr>
      <w:rFonts w:ascii="华文细黑" w:hAnsi="华文细黑" w:eastAsia="华文细黑"/>
      <w:sz w:val="24"/>
      <w:szCs w:val="24"/>
    </w:rPr>
  </w:style>
  <w:style w:type="paragraph" w:customStyle="1" w:styleId="221">
    <w:name w:val="方案正文"/>
    <w:basedOn w:val="1"/>
    <w:link w:val="220"/>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222">
    <w:name w:val="列表段落2"/>
    <w:basedOn w:val="1"/>
    <w:qFormat/>
    <w:uiPriority w:val="99"/>
    <w:pPr>
      <w:ind w:firstLine="420" w:firstLineChars="200"/>
    </w:pPr>
    <w:rPr>
      <w:sz w:val="21"/>
    </w:rPr>
  </w:style>
  <w:style w:type="paragraph" w:customStyle="1" w:styleId="223">
    <w:name w:val="列表段落1"/>
    <w:basedOn w:val="1"/>
    <w:qFormat/>
    <w:uiPriority w:val="0"/>
    <w:pPr>
      <w:spacing w:line="360" w:lineRule="auto"/>
      <w:ind w:firstLine="420" w:firstLineChars="200"/>
    </w:pPr>
    <w:rPr>
      <w:rFonts w:hint="eastAsia" w:ascii="宋体" w:hAnsi="宋体"/>
      <w:sz w:val="24"/>
    </w:rPr>
  </w:style>
  <w:style w:type="character" w:customStyle="1" w:styleId="224">
    <w:name w:val="font41"/>
    <w:basedOn w:val="6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4024</Words>
  <Characters>22938</Characters>
  <Lines>191</Lines>
  <Paragraphs>53</Paragraphs>
  <TotalTime>0</TotalTime>
  <ScaleCrop>false</ScaleCrop>
  <LinksUpToDate>false</LinksUpToDate>
  <CharactersWithSpaces>26909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2021-06-01T09:31:00Z</dcterms:created>
  <dc:creator>admin</dc:creator>
  <cp:lastModifiedBy>牧羊人</cp:lastModifiedBy>
  <cp:lastPrinted>2021-06-17T02:56:00Z</cp:lastPrinted>
  <dcterms:modified xsi:type="dcterms:W3CDTF">2022-03-18T08:34:26Z</dcterms:modified>
  <dc:title>货物</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46F080213010449B9F96E19CCD6B2667</vt:lpwstr>
  </property>
</Properties>
</file>