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color w:val="auto"/>
        </w:rPr>
      </w:pPr>
      <w:r>
        <w:rPr>
          <w:rFonts w:hint="eastAsia" w:ascii="宋体" w:hAnsi="宋体"/>
          <w:color w:val="auto"/>
        </w:rPr>
        <w:t xml:space="preserve"> </w:t>
      </w:r>
    </w:p>
    <w:p>
      <w:pPr>
        <w:spacing w:line="276" w:lineRule="auto"/>
        <w:jc w:val="center"/>
        <w:rPr>
          <w:rFonts w:hint="eastAsia" w:ascii="宋体" w:hAnsi="宋体"/>
          <w:b/>
          <w:color w:val="auto"/>
          <w:sz w:val="72"/>
          <w:szCs w:val="44"/>
        </w:rPr>
      </w:pPr>
      <w:r>
        <w:rPr>
          <w:rFonts w:hint="eastAsia" w:ascii="宋体" w:hAnsi="宋体"/>
          <w:b/>
          <w:color w:val="auto"/>
          <w:sz w:val="72"/>
          <w:szCs w:val="44"/>
        </w:rPr>
        <w:t>竞争性磋商文件</w:t>
      </w:r>
    </w:p>
    <w:p>
      <w:pPr>
        <w:pStyle w:val="23"/>
        <w:spacing w:line="276" w:lineRule="auto"/>
        <w:ind w:left="0"/>
        <w:jc w:val="center"/>
        <w:rPr>
          <w:rFonts w:hint="eastAsia" w:ascii="宋体" w:hAnsi="宋体"/>
          <w:b/>
          <w:color w:val="auto"/>
          <w:sz w:val="32"/>
        </w:rPr>
      </w:pPr>
    </w:p>
    <w:p>
      <w:pPr>
        <w:pStyle w:val="23"/>
        <w:spacing w:line="276" w:lineRule="auto"/>
        <w:ind w:left="0"/>
        <w:jc w:val="center"/>
        <w:rPr>
          <w:rFonts w:hint="eastAsia" w:ascii="宋体" w:hAnsi="宋体"/>
          <w:b/>
          <w:color w:val="auto"/>
          <w:sz w:val="32"/>
        </w:rPr>
      </w:pPr>
    </w:p>
    <w:p>
      <w:pPr>
        <w:pStyle w:val="23"/>
        <w:spacing w:line="276" w:lineRule="auto"/>
        <w:ind w:left="0"/>
        <w:jc w:val="center"/>
        <w:rPr>
          <w:rFonts w:hint="eastAsia" w:ascii="宋体" w:hAnsi="宋体"/>
          <w:b/>
          <w:color w:val="auto"/>
          <w:sz w:val="32"/>
        </w:rPr>
      </w:pPr>
    </w:p>
    <w:p>
      <w:pPr>
        <w:pStyle w:val="23"/>
        <w:spacing w:line="276" w:lineRule="auto"/>
        <w:ind w:left="0"/>
        <w:jc w:val="center"/>
        <w:rPr>
          <w:rFonts w:hint="eastAsia" w:ascii="宋体" w:hAnsi="宋体"/>
          <w:b/>
          <w:color w:val="auto"/>
          <w:sz w:val="32"/>
        </w:rPr>
      </w:pPr>
    </w:p>
    <w:p>
      <w:pPr>
        <w:spacing w:line="276" w:lineRule="auto"/>
        <w:ind w:left="1417" w:leftChars="506"/>
        <w:jc w:val="left"/>
        <w:rPr>
          <w:rFonts w:hint="eastAsia" w:ascii="宋体" w:hAnsi="宋体"/>
          <w:b/>
          <w:color w:val="auto"/>
          <w:sz w:val="36"/>
          <w:szCs w:val="22"/>
          <w:lang w:val="en-US" w:eastAsia="zh-CN"/>
        </w:rPr>
      </w:pPr>
      <w:r>
        <w:rPr>
          <w:rFonts w:hint="eastAsia" w:ascii="宋体" w:hAnsi="宋体"/>
          <w:b/>
          <w:color w:val="auto"/>
          <w:sz w:val="36"/>
          <w:szCs w:val="22"/>
        </w:rPr>
        <w:t>项目编号：202</w:t>
      </w:r>
      <w:r>
        <w:rPr>
          <w:rFonts w:hint="eastAsia" w:ascii="宋体" w:hAnsi="宋体"/>
          <w:b/>
          <w:color w:val="auto"/>
          <w:sz w:val="36"/>
          <w:szCs w:val="22"/>
          <w:lang w:val="en-US" w:eastAsia="zh-CN"/>
        </w:rPr>
        <w:t>2</w:t>
      </w:r>
      <w:r>
        <w:rPr>
          <w:rFonts w:hint="eastAsia" w:ascii="宋体" w:hAnsi="宋体"/>
          <w:b/>
          <w:color w:val="auto"/>
          <w:sz w:val="36"/>
          <w:szCs w:val="22"/>
        </w:rPr>
        <w:t>JYXX-</w:t>
      </w:r>
      <w:r>
        <w:rPr>
          <w:rFonts w:hint="eastAsia" w:ascii="宋体" w:hAnsi="宋体"/>
          <w:b/>
          <w:color w:val="auto"/>
          <w:sz w:val="36"/>
          <w:szCs w:val="22"/>
          <w:lang w:val="en-US" w:eastAsia="zh-CN"/>
        </w:rPr>
        <w:t>11</w:t>
      </w:r>
    </w:p>
    <w:p>
      <w:pPr>
        <w:spacing w:line="276" w:lineRule="auto"/>
        <w:ind w:left="1417" w:leftChars="506"/>
        <w:jc w:val="left"/>
        <w:rPr>
          <w:rFonts w:hint="eastAsia" w:ascii="宋体" w:hAnsi="宋体" w:eastAsia="宋体" w:cs="Times New Roman"/>
          <w:b/>
          <w:color w:val="auto"/>
          <w:sz w:val="36"/>
          <w:szCs w:val="22"/>
          <w:lang w:val="en-US" w:eastAsia="zh-CN"/>
        </w:rPr>
      </w:pPr>
      <w:r>
        <w:rPr>
          <w:rFonts w:hint="eastAsia" w:ascii="宋体" w:hAnsi="宋体"/>
          <w:b/>
          <w:color w:val="auto"/>
          <w:sz w:val="36"/>
          <w:szCs w:val="22"/>
        </w:rPr>
        <w:t>项目名称：</w:t>
      </w:r>
      <w:r>
        <w:rPr>
          <w:rFonts w:hint="eastAsia" w:ascii="宋体" w:hAnsi="宋体"/>
          <w:b/>
          <w:color w:val="auto"/>
          <w:sz w:val="36"/>
          <w:szCs w:val="22"/>
          <w:lang w:eastAsia="zh-CN"/>
        </w:rPr>
        <w:t>透析患者院后管理交互智能平台</w:t>
      </w:r>
    </w:p>
    <w:p>
      <w:pPr>
        <w:spacing w:line="276" w:lineRule="auto"/>
        <w:jc w:val="center"/>
        <w:rPr>
          <w:rFonts w:hint="eastAsia" w:ascii="宋体" w:hAnsi="宋体"/>
          <w:color w:val="auto"/>
        </w:rPr>
      </w:pPr>
    </w:p>
    <w:p>
      <w:pPr>
        <w:spacing w:line="276" w:lineRule="auto"/>
        <w:jc w:val="center"/>
        <w:rPr>
          <w:rFonts w:hint="eastAsia" w:ascii="宋体" w:hAnsi="宋体"/>
          <w:color w:val="auto"/>
        </w:rPr>
      </w:pPr>
    </w:p>
    <w:p>
      <w:pPr>
        <w:pStyle w:val="28"/>
        <w:rPr>
          <w:rFonts w:hint="eastAsia"/>
          <w:color w:val="auto"/>
        </w:rPr>
      </w:pPr>
    </w:p>
    <w:p>
      <w:pPr>
        <w:rPr>
          <w:rFonts w:hint="eastAsia"/>
          <w:color w:val="auto"/>
        </w:rPr>
      </w:pPr>
    </w:p>
    <w:p>
      <w:pPr>
        <w:pStyle w:val="28"/>
        <w:rPr>
          <w:rFonts w:hint="eastAsia"/>
          <w:color w:val="auto"/>
        </w:rPr>
      </w:pPr>
    </w:p>
    <w:p>
      <w:pPr>
        <w:rPr>
          <w:rFonts w:hint="eastAsia"/>
          <w:color w:val="auto"/>
        </w:rPr>
      </w:pPr>
    </w:p>
    <w:p>
      <w:pPr>
        <w:pStyle w:val="28"/>
        <w:rPr>
          <w:rFonts w:hint="eastAsia"/>
          <w:color w:val="auto"/>
        </w:rPr>
      </w:pPr>
    </w:p>
    <w:p>
      <w:pPr>
        <w:rPr>
          <w:rFonts w:hint="eastAsia"/>
          <w:color w:val="auto"/>
        </w:rPr>
      </w:pPr>
    </w:p>
    <w:p>
      <w:pPr>
        <w:pStyle w:val="28"/>
        <w:rPr>
          <w:rFonts w:hint="eastAsia"/>
          <w:color w:val="auto"/>
        </w:rPr>
      </w:pPr>
    </w:p>
    <w:p>
      <w:pPr>
        <w:rPr>
          <w:rFonts w:hint="eastAsia"/>
          <w:color w:val="auto"/>
        </w:rPr>
      </w:pPr>
    </w:p>
    <w:p>
      <w:pPr>
        <w:pStyle w:val="28"/>
        <w:rPr>
          <w:rFonts w:hint="eastAsia"/>
          <w:color w:val="auto"/>
        </w:rPr>
      </w:pPr>
    </w:p>
    <w:p>
      <w:pPr>
        <w:spacing w:line="276" w:lineRule="auto"/>
        <w:jc w:val="center"/>
        <w:rPr>
          <w:rFonts w:hint="eastAsia" w:ascii="宋体" w:hAnsi="宋体"/>
          <w:color w:val="auto"/>
        </w:rPr>
      </w:pPr>
    </w:p>
    <w:p>
      <w:pPr>
        <w:spacing w:line="276" w:lineRule="auto"/>
        <w:jc w:val="center"/>
        <w:rPr>
          <w:rFonts w:hint="eastAsia" w:ascii="宋体" w:hAnsi="宋体"/>
          <w:color w:val="auto"/>
        </w:rPr>
      </w:pPr>
    </w:p>
    <w:p>
      <w:pPr>
        <w:spacing w:line="276" w:lineRule="auto"/>
        <w:jc w:val="center"/>
        <w:rPr>
          <w:rFonts w:hint="eastAsia" w:ascii="宋体" w:hAnsi="宋体"/>
          <w:color w:val="auto"/>
        </w:rPr>
      </w:pPr>
    </w:p>
    <w:p>
      <w:pPr>
        <w:spacing w:line="276" w:lineRule="auto"/>
        <w:ind w:firstLine="2260" w:firstLineChars="628"/>
        <w:jc w:val="left"/>
        <w:rPr>
          <w:rFonts w:hint="eastAsia" w:ascii="宋体" w:hAnsi="宋体"/>
          <w:color w:val="auto"/>
          <w:sz w:val="36"/>
        </w:rPr>
      </w:pPr>
    </w:p>
    <w:p>
      <w:pPr>
        <w:spacing w:line="276" w:lineRule="auto"/>
        <w:ind w:firstLine="2260" w:firstLineChars="628"/>
        <w:jc w:val="left"/>
        <w:rPr>
          <w:rFonts w:hint="eastAsia" w:ascii="宋体" w:hAnsi="宋体"/>
          <w:color w:val="auto"/>
          <w:sz w:val="36"/>
        </w:rPr>
      </w:pPr>
    </w:p>
    <w:p>
      <w:pPr>
        <w:spacing w:line="276" w:lineRule="auto"/>
        <w:ind w:firstLine="2260" w:firstLineChars="628"/>
        <w:jc w:val="left"/>
        <w:rPr>
          <w:rFonts w:hint="eastAsia" w:ascii="宋体" w:hAnsi="宋体"/>
          <w:color w:val="auto"/>
          <w:sz w:val="36"/>
        </w:rPr>
      </w:pPr>
    </w:p>
    <w:p>
      <w:pPr>
        <w:spacing w:line="276" w:lineRule="auto"/>
        <w:ind w:firstLine="2260" w:firstLineChars="628"/>
        <w:jc w:val="left"/>
        <w:rPr>
          <w:rFonts w:hint="eastAsia" w:ascii="宋体" w:hAnsi="宋体"/>
          <w:color w:val="auto"/>
          <w:sz w:val="36"/>
        </w:rPr>
      </w:pPr>
    </w:p>
    <w:p>
      <w:pPr>
        <w:spacing w:line="276" w:lineRule="auto"/>
        <w:ind w:firstLine="2260" w:firstLineChars="628"/>
        <w:jc w:val="left"/>
        <w:rPr>
          <w:rFonts w:hint="eastAsia" w:ascii="宋体" w:hAnsi="宋体"/>
          <w:color w:val="auto"/>
          <w:sz w:val="36"/>
        </w:rPr>
      </w:pPr>
    </w:p>
    <w:p>
      <w:pPr>
        <w:spacing w:line="276" w:lineRule="auto"/>
        <w:ind w:firstLine="2260" w:firstLineChars="628"/>
        <w:jc w:val="left"/>
        <w:rPr>
          <w:rFonts w:hint="eastAsia" w:ascii="宋体" w:hAnsi="宋体"/>
          <w:color w:val="auto"/>
          <w:sz w:val="36"/>
        </w:rPr>
      </w:pPr>
    </w:p>
    <w:p>
      <w:pPr>
        <w:spacing w:line="276" w:lineRule="auto"/>
        <w:ind w:firstLine="2260" w:firstLineChars="628"/>
        <w:jc w:val="left"/>
        <w:rPr>
          <w:rFonts w:hint="eastAsia" w:ascii="宋体" w:hAnsi="宋体"/>
          <w:color w:val="auto"/>
          <w:sz w:val="36"/>
        </w:rPr>
      </w:pPr>
      <w:r>
        <w:rPr>
          <w:rFonts w:hint="eastAsia" w:ascii="宋体" w:hAnsi="宋体"/>
          <w:color w:val="auto"/>
          <w:sz w:val="36"/>
        </w:rPr>
        <w:t>采购人：重庆市第九人民医院</w:t>
      </w:r>
    </w:p>
    <w:p>
      <w:pPr>
        <w:spacing w:line="276" w:lineRule="auto"/>
        <w:jc w:val="center"/>
        <w:rPr>
          <w:rFonts w:hint="eastAsia" w:ascii="宋体" w:hAnsi="宋体"/>
          <w:color w:val="auto"/>
          <w:sz w:val="40"/>
          <w:szCs w:val="18"/>
        </w:rPr>
      </w:pPr>
      <w:r>
        <w:rPr>
          <w:rFonts w:hint="eastAsia" w:ascii="宋体" w:hAnsi="宋体"/>
          <w:color w:val="auto"/>
          <w:sz w:val="40"/>
          <w:szCs w:val="18"/>
        </w:rPr>
        <w:t>二〇二</w:t>
      </w:r>
      <w:r>
        <w:rPr>
          <w:rFonts w:hint="eastAsia" w:ascii="宋体" w:hAnsi="宋体"/>
          <w:color w:val="auto"/>
          <w:sz w:val="40"/>
          <w:szCs w:val="18"/>
          <w:lang w:eastAsia="zh-CN"/>
        </w:rPr>
        <w:t>二</w:t>
      </w:r>
      <w:r>
        <w:rPr>
          <w:rFonts w:hint="eastAsia" w:ascii="宋体" w:hAnsi="宋体"/>
          <w:color w:val="auto"/>
          <w:sz w:val="40"/>
          <w:szCs w:val="18"/>
        </w:rPr>
        <w:t>年</w:t>
      </w:r>
      <w:r>
        <w:rPr>
          <w:rFonts w:hint="eastAsia" w:ascii="宋体" w:hAnsi="宋体"/>
          <w:color w:val="auto"/>
          <w:sz w:val="40"/>
          <w:szCs w:val="18"/>
          <w:lang w:eastAsia="zh-CN"/>
        </w:rPr>
        <w:t>二</w:t>
      </w:r>
      <w:r>
        <w:rPr>
          <w:rFonts w:hint="eastAsia" w:ascii="宋体" w:hAnsi="宋体"/>
          <w:color w:val="auto"/>
          <w:sz w:val="40"/>
          <w:szCs w:val="18"/>
        </w:rPr>
        <w:t>月</w:t>
      </w:r>
    </w:p>
    <w:p>
      <w:pPr>
        <w:snapToGrid w:val="0"/>
        <w:spacing w:line="276" w:lineRule="auto"/>
        <w:rPr>
          <w:rFonts w:hint="eastAsia" w:ascii="宋体" w:hAnsi="宋体"/>
          <w:color w:val="auto"/>
          <w:sz w:val="44"/>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p>
    <w:p>
      <w:pPr>
        <w:snapToGrid w:val="0"/>
        <w:spacing w:line="276" w:lineRule="auto"/>
        <w:jc w:val="center"/>
        <w:rPr>
          <w:rFonts w:hint="eastAsia" w:ascii="宋体" w:hAnsi="宋体"/>
          <w:color w:val="auto"/>
          <w:sz w:val="44"/>
        </w:rPr>
      </w:pPr>
      <w:r>
        <w:rPr>
          <w:rFonts w:hint="eastAsia" w:ascii="宋体" w:hAnsi="宋体"/>
          <w:color w:val="auto"/>
          <w:sz w:val="44"/>
        </w:rPr>
        <w:t>目  录</w:t>
      </w:r>
    </w:p>
    <w:p>
      <w:pPr>
        <w:pStyle w:val="38"/>
        <w:tabs>
          <w:tab w:val="right" w:leader="dot" w:pos="9412"/>
          <w:tab w:val="clear" w:pos="1260"/>
          <w:tab w:val="clear" w:pos="1685"/>
          <w:tab w:val="clear" w:pos="8400"/>
        </w:tabs>
      </w:pPr>
      <w:r>
        <w:rPr>
          <w:rFonts w:hint="eastAsia" w:ascii="宋体" w:hAnsi="宋体"/>
          <w:color w:val="auto"/>
          <w:sz w:val="21"/>
          <w:szCs w:val="21"/>
        </w:rPr>
        <w:fldChar w:fldCharType="begin"/>
      </w:r>
      <w:r>
        <w:rPr>
          <w:rFonts w:hint="eastAsia" w:ascii="宋体" w:hAnsi="宋体"/>
          <w:color w:val="auto"/>
          <w:sz w:val="21"/>
          <w:szCs w:val="21"/>
        </w:rPr>
        <w:instrText xml:space="preserve"> TOC \o "1-2" \h \z </w:instrText>
      </w:r>
      <w:r>
        <w:rPr>
          <w:rFonts w:hint="eastAsia" w:ascii="宋体" w:hAnsi="宋体"/>
          <w:color w:val="auto"/>
          <w:sz w:val="21"/>
          <w:szCs w:val="21"/>
        </w:rPr>
        <w:fldChar w:fldCharType="separate"/>
      </w:r>
      <w:r>
        <w:rPr>
          <w:rFonts w:hint="eastAsia" w:ascii="宋体" w:hAnsi="宋体"/>
          <w:color w:val="auto"/>
          <w:szCs w:val="21"/>
        </w:rPr>
        <w:fldChar w:fldCharType="begin"/>
      </w:r>
      <w:r>
        <w:rPr>
          <w:rFonts w:hint="eastAsia" w:ascii="宋体" w:hAnsi="宋体"/>
          <w:szCs w:val="21"/>
        </w:rPr>
        <w:instrText xml:space="preserve"> HYPERLINK \l _Toc29529 </w:instrText>
      </w:r>
      <w:r>
        <w:rPr>
          <w:rFonts w:hint="eastAsia" w:ascii="宋体" w:hAnsi="宋体"/>
          <w:szCs w:val="21"/>
        </w:rPr>
        <w:fldChar w:fldCharType="separate"/>
      </w:r>
      <w:r>
        <w:rPr>
          <w:rFonts w:hint="default" w:ascii="宋体" w:hAnsi="宋体" w:eastAsia="宋体"/>
        </w:rPr>
        <w:t xml:space="preserve">第一篇 </w:t>
      </w:r>
      <w:r>
        <w:rPr>
          <w:rFonts w:hint="eastAsia" w:ascii="宋体" w:hAnsi="宋体" w:eastAsia="宋体"/>
        </w:rPr>
        <w:t>竞争性磋商邀请书</w:t>
      </w:r>
      <w:r>
        <w:tab/>
      </w:r>
      <w:r>
        <w:fldChar w:fldCharType="begin"/>
      </w:r>
      <w:r>
        <w:instrText xml:space="preserve"> PAGEREF _Toc29529 \h </w:instrText>
      </w:r>
      <w:r>
        <w:fldChar w:fldCharType="separate"/>
      </w:r>
      <w:r>
        <w:t>- 2 -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_Toc16105 </w:instrText>
      </w:r>
      <w:r>
        <w:rPr>
          <w:rFonts w:hint="eastAsia" w:ascii="宋体" w:hAnsi="宋体"/>
          <w:szCs w:val="21"/>
        </w:rPr>
        <w:fldChar w:fldCharType="separate"/>
      </w:r>
      <w:r>
        <w:rPr>
          <w:rFonts w:hint="eastAsia"/>
        </w:rPr>
        <w:t>一、项目内容</w:t>
      </w:r>
      <w:r>
        <w:tab/>
      </w:r>
      <w:r>
        <w:fldChar w:fldCharType="begin"/>
      </w:r>
      <w:r>
        <w:instrText xml:space="preserve"> PAGEREF _Toc16105 \h </w:instrText>
      </w:r>
      <w:r>
        <w:fldChar w:fldCharType="separate"/>
      </w:r>
      <w:r>
        <w:t>- 2 -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_Toc19683 </w:instrText>
      </w:r>
      <w:r>
        <w:rPr>
          <w:rFonts w:hint="eastAsia" w:ascii="宋体" w:hAnsi="宋体"/>
          <w:szCs w:val="21"/>
        </w:rPr>
        <w:fldChar w:fldCharType="separate"/>
      </w:r>
      <w:r>
        <w:rPr>
          <w:rFonts w:hint="eastAsia"/>
          <w:lang w:eastAsia="zh-CN"/>
        </w:rPr>
        <w:t>二</w:t>
      </w:r>
      <w:r>
        <w:rPr>
          <w:rFonts w:hint="eastAsia"/>
        </w:rPr>
        <w:t>、供应商资格要求</w:t>
      </w:r>
      <w:r>
        <w:tab/>
      </w:r>
      <w:r>
        <w:fldChar w:fldCharType="begin"/>
      </w:r>
      <w:r>
        <w:instrText xml:space="preserve"> PAGEREF _Toc19683 \h </w:instrText>
      </w:r>
      <w:r>
        <w:fldChar w:fldCharType="separate"/>
      </w:r>
      <w:r>
        <w:t>- 2 -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_Toc9573 </w:instrText>
      </w:r>
      <w:r>
        <w:rPr>
          <w:rFonts w:hint="eastAsia" w:ascii="宋体" w:hAnsi="宋体"/>
          <w:szCs w:val="21"/>
        </w:rPr>
        <w:fldChar w:fldCharType="separate"/>
      </w:r>
      <w:r>
        <w:rPr>
          <w:rFonts w:hint="eastAsia"/>
          <w:lang w:eastAsia="zh-CN"/>
        </w:rPr>
        <w:t>三</w:t>
      </w:r>
      <w:r>
        <w:rPr>
          <w:rFonts w:hint="eastAsia"/>
        </w:rPr>
        <w:t>、磋商报名</w:t>
      </w:r>
      <w:r>
        <w:tab/>
      </w:r>
      <w:r>
        <w:fldChar w:fldCharType="begin"/>
      </w:r>
      <w:r>
        <w:instrText xml:space="preserve"> PAGEREF _Toc9573 \h </w:instrText>
      </w:r>
      <w:r>
        <w:fldChar w:fldCharType="separate"/>
      </w:r>
      <w:r>
        <w:t>- 2 -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_Toc22332 </w:instrText>
      </w:r>
      <w:r>
        <w:rPr>
          <w:rFonts w:hint="eastAsia" w:ascii="宋体" w:hAnsi="宋体"/>
          <w:szCs w:val="21"/>
        </w:rPr>
        <w:fldChar w:fldCharType="separate"/>
      </w:r>
      <w:r>
        <w:rPr>
          <w:rFonts w:hint="eastAsia"/>
          <w:lang w:eastAsia="zh-CN"/>
        </w:rPr>
        <w:t>四</w:t>
      </w:r>
      <w:r>
        <w:rPr>
          <w:rFonts w:hint="eastAsia"/>
        </w:rPr>
        <w:t>、投标文件递交与磋商</w:t>
      </w:r>
      <w:r>
        <w:tab/>
      </w:r>
      <w:r>
        <w:fldChar w:fldCharType="begin"/>
      </w:r>
      <w:r>
        <w:instrText xml:space="preserve"> PAGEREF _Toc22332 \h </w:instrText>
      </w:r>
      <w:r>
        <w:fldChar w:fldCharType="separate"/>
      </w:r>
      <w:r>
        <w:t>- 2 -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_Toc1937 </w:instrText>
      </w:r>
      <w:r>
        <w:rPr>
          <w:rFonts w:hint="eastAsia" w:ascii="宋体" w:hAnsi="宋体"/>
          <w:szCs w:val="21"/>
        </w:rPr>
        <w:fldChar w:fldCharType="separate"/>
      </w:r>
      <w:r>
        <w:rPr>
          <w:rFonts w:hint="eastAsia"/>
          <w:lang w:eastAsia="zh-CN"/>
        </w:rPr>
        <w:t>五</w:t>
      </w:r>
      <w:r>
        <w:rPr>
          <w:rFonts w:hint="eastAsia"/>
        </w:rPr>
        <w:t>、采购人联系方式</w:t>
      </w:r>
      <w:r>
        <w:tab/>
      </w:r>
      <w:r>
        <w:fldChar w:fldCharType="begin"/>
      </w:r>
      <w:r>
        <w:instrText xml:space="preserve"> PAGEREF _Toc1937 \h </w:instrText>
      </w:r>
      <w:r>
        <w:fldChar w:fldCharType="separate"/>
      </w:r>
      <w:r>
        <w:t>- 3 -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_Toc32055 </w:instrText>
      </w:r>
      <w:r>
        <w:rPr>
          <w:rFonts w:hint="eastAsia" w:ascii="宋体" w:hAnsi="宋体"/>
          <w:szCs w:val="21"/>
        </w:rPr>
        <w:fldChar w:fldCharType="separate"/>
      </w:r>
      <w:r>
        <w:rPr>
          <w:rFonts w:hint="eastAsia"/>
          <w:lang w:eastAsia="zh-CN"/>
        </w:rPr>
        <w:t>六</w:t>
      </w:r>
      <w:r>
        <w:rPr>
          <w:rFonts w:hint="eastAsia"/>
        </w:rPr>
        <w:t>、磋商保证金</w:t>
      </w:r>
      <w:r>
        <w:tab/>
      </w:r>
      <w:r>
        <w:fldChar w:fldCharType="begin"/>
      </w:r>
      <w:r>
        <w:instrText xml:space="preserve"> PAGEREF _Toc32055 \h </w:instrText>
      </w:r>
      <w:r>
        <w:fldChar w:fldCharType="separate"/>
      </w:r>
      <w:r>
        <w:t>- 3 -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_Toc16321 </w:instrText>
      </w:r>
      <w:r>
        <w:rPr>
          <w:rFonts w:hint="eastAsia" w:ascii="宋体" w:hAnsi="宋体"/>
          <w:szCs w:val="21"/>
        </w:rPr>
        <w:fldChar w:fldCharType="separate"/>
      </w:r>
      <w:r>
        <w:rPr>
          <w:rFonts w:hint="eastAsia"/>
          <w:lang w:eastAsia="zh-CN"/>
        </w:rPr>
        <w:t>七</w:t>
      </w:r>
      <w:r>
        <w:rPr>
          <w:rFonts w:hint="eastAsia"/>
        </w:rPr>
        <w:t>、采购项目需落实的政府采购政策</w:t>
      </w:r>
      <w:r>
        <w:tab/>
      </w:r>
      <w:r>
        <w:fldChar w:fldCharType="begin"/>
      </w:r>
      <w:r>
        <w:instrText xml:space="preserve"> PAGEREF _Toc16321 \h </w:instrText>
      </w:r>
      <w:r>
        <w:fldChar w:fldCharType="separate"/>
      </w:r>
      <w:r>
        <w:t>- 3 -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_Toc10082 </w:instrText>
      </w:r>
      <w:r>
        <w:rPr>
          <w:rFonts w:hint="eastAsia" w:ascii="宋体" w:hAnsi="宋体"/>
          <w:szCs w:val="21"/>
        </w:rPr>
        <w:fldChar w:fldCharType="separate"/>
      </w:r>
      <w:r>
        <w:rPr>
          <w:rFonts w:hint="eastAsia"/>
          <w:lang w:eastAsia="zh-CN"/>
        </w:rPr>
        <w:t>八</w:t>
      </w:r>
      <w:r>
        <w:rPr>
          <w:rFonts w:hint="eastAsia"/>
        </w:rPr>
        <w:t>、磋商有关规定</w:t>
      </w:r>
      <w:r>
        <w:tab/>
      </w:r>
      <w:r>
        <w:fldChar w:fldCharType="begin"/>
      </w:r>
      <w:r>
        <w:instrText xml:space="preserve"> PAGEREF _Toc10082 \h </w:instrText>
      </w:r>
      <w:r>
        <w:fldChar w:fldCharType="separate"/>
      </w:r>
      <w:r>
        <w:t>- 3 -</w:t>
      </w:r>
      <w:r>
        <w:fldChar w:fldCharType="end"/>
      </w:r>
      <w:r>
        <w:rPr>
          <w:rFonts w:hint="eastAsia" w:ascii="宋体" w:hAnsi="宋体"/>
          <w:color w:val="auto"/>
          <w:szCs w:val="21"/>
        </w:rPr>
        <w:fldChar w:fldCharType="end"/>
      </w:r>
    </w:p>
    <w:p>
      <w:pPr>
        <w:pStyle w:val="38"/>
        <w:tabs>
          <w:tab w:val="right" w:leader="dot" w:pos="9412"/>
          <w:tab w:val="clear" w:pos="1260"/>
          <w:tab w:val="clear" w:pos="1685"/>
          <w:tab w:val="clear" w:pos="8400"/>
        </w:tabs>
      </w:pPr>
      <w:r>
        <w:rPr>
          <w:rFonts w:hint="eastAsia" w:ascii="宋体" w:hAnsi="宋体"/>
          <w:color w:val="auto"/>
          <w:szCs w:val="21"/>
        </w:rPr>
        <w:fldChar w:fldCharType="begin"/>
      </w:r>
      <w:r>
        <w:rPr>
          <w:rFonts w:hint="eastAsia" w:ascii="宋体" w:hAnsi="宋体"/>
          <w:szCs w:val="21"/>
        </w:rPr>
        <w:instrText xml:space="preserve"> HYPERLINK \l _Toc21936 </w:instrText>
      </w:r>
      <w:r>
        <w:rPr>
          <w:rFonts w:hint="eastAsia" w:ascii="宋体" w:hAnsi="宋体"/>
          <w:szCs w:val="21"/>
        </w:rPr>
        <w:fldChar w:fldCharType="separate"/>
      </w:r>
      <w:r>
        <w:rPr>
          <w:rFonts w:hint="eastAsia" w:ascii="宋体" w:hAnsi="宋体" w:eastAsia="宋体"/>
        </w:rPr>
        <w:t>第二篇 项目具体要求</w:t>
      </w:r>
      <w:r>
        <w:tab/>
      </w:r>
      <w:r>
        <w:fldChar w:fldCharType="begin"/>
      </w:r>
      <w:r>
        <w:instrText xml:space="preserve"> PAGEREF _Toc21936 \h </w:instrText>
      </w:r>
      <w:r>
        <w:fldChar w:fldCharType="separate"/>
      </w:r>
      <w:r>
        <w:t>- 5 -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_Toc613 </w:instrText>
      </w:r>
      <w:r>
        <w:rPr>
          <w:rFonts w:hint="eastAsia" w:ascii="宋体" w:hAnsi="宋体"/>
          <w:szCs w:val="21"/>
        </w:rPr>
        <w:fldChar w:fldCharType="separate"/>
      </w:r>
      <w:r>
        <w:rPr>
          <w:rFonts w:hint="eastAsia"/>
          <w:szCs w:val="22"/>
        </w:rPr>
        <w:t>第一部分 技术要求</w:t>
      </w:r>
      <w:r>
        <w:tab/>
      </w:r>
      <w:r>
        <w:fldChar w:fldCharType="begin"/>
      </w:r>
      <w:r>
        <w:instrText xml:space="preserve"> PAGEREF _Toc613 \h </w:instrText>
      </w:r>
      <w:r>
        <w:fldChar w:fldCharType="separate"/>
      </w:r>
      <w:r>
        <w:t>- 5 -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_Toc24535 </w:instrText>
      </w:r>
      <w:r>
        <w:rPr>
          <w:rFonts w:hint="eastAsia" w:ascii="宋体" w:hAnsi="宋体"/>
          <w:szCs w:val="21"/>
        </w:rPr>
        <w:fldChar w:fldCharType="separate"/>
      </w:r>
      <w:r>
        <w:rPr>
          <w:rFonts w:hint="eastAsia"/>
          <w:szCs w:val="22"/>
        </w:rPr>
        <w:t>第二部分 商务要求</w:t>
      </w:r>
      <w:r>
        <w:tab/>
      </w:r>
      <w:r>
        <w:fldChar w:fldCharType="begin"/>
      </w:r>
      <w:r>
        <w:instrText xml:space="preserve"> PAGEREF _Toc24535 \h </w:instrText>
      </w:r>
      <w:r>
        <w:fldChar w:fldCharType="separate"/>
      </w:r>
      <w:r>
        <w:t>- 7 -</w:t>
      </w:r>
      <w:r>
        <w:fldChar w:fldCharType="end"/>
      </w:r>
      <w:r>
        <w:rPr>
          <w:rFonts w:hint="eastAsia" w:ascii="宋体" w:hAnsi="宋体"/>
          <w:color w:val="auto"/>
          <w:szCs w:val="21"/>
        </w:rPr>
        <w:fldChar w:fldCharType="end"/>
      </w:r>
    </w:p>
    <w:p>
      <w:pPr>
        <w:pStyle w:val="38"/>
        <w:tabs>
          <w:tab w:val="right" w:leader="dot" w:pos="9412"/>
          <w:tab w:val="clear" w:pos="1260"/>
          <w:tab w:val="clear" w:pos="1685"/>
          <w:tab w:val="clear" w:pos="8400"/>
        </w:tabs>
      </w:pPr>
      <w:r>
        <w:rPr>
          <w:rFonts w:hint="eastAsia" w:ascii="宋体" w:hAnsi="宋体"/>
          <w:color w:val="auto"/>
          <w:szCs w:val="21"/>
        </w:rPr>
        <w:fldChar w:fldCharType="begin"/>
      </w:r>
      <w:r>
        <w:rPr>
          <w:rFonts w:hint="eastAsia" w:ascii="宋体" w:hAnsi="宋体"/>
          <w:szCs w:val="21"/>
        </w:rPr>
        <w:instrText xml:space="preserve"> HYPERLINK \l _Toc15745 </w:instrText>
      </w:r>
      <w:r>
        <w:rPr>
          <w:rFonts w:hint="eastAsia" w:ascii="宋体" w:hAnsi="宋体"/>
          <w:szCs w:val="21"/>
        </w:rPr>
        <w:fldChar w:fldCharType="separate"/>
      </w:r>
      <w:r>
        <w:rPr>
          <w:rFonts w:hint="eastAsia" w:ascii="宋体" w:hAnsi="宋体" w:eastAsia="宋体"/>
        </w:rPr>
        <w:t>第三篇  评审程序、评审方法和评审标准</w:t>
      </w:r>
      <w:r>
        <w:tab/>
      </w:r>
      <w:r>
        <w:fldChar w:fldCharType="begin"/>
      </w:r>
      <w:r>
        <w:instrText xml:space="preserve"> PAGEREF _Toc15745 \h </w:instrText>
      </w:r>
      <w:r>
        <w:fldChar w:fldCharType="separate"/>
      </w:r>
      <w:r>
        <w:t>- 9 -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_Toc8311 </w:instrText>
      </w:r>
      <w:r>
        <w:rPr>
          <w:rFonts w:hint="eastAsia" w:ascii="宋体" w:hAnsi="宋体"/>
          <w:szCs w:val="21"/>
        </w:rPr>
        <w:fldChar w:fldCharType="separate"/>
      </w:r>
      <w:r>
        <w:rPr>
          <w:rFonts w:hint="eastAsia"/>
          <w:szCs w:val="24"/>
        </w:rPr>
        <w:t>一、评审程序</w:t>
      </w:r>
      <w:r>
        <w:tab/>
      </w:r>
      <w:r>
        <w:fldChar w:fldCharType="begin"/>
      </w:r>
      <w:r>
        <w:instrText xml:space="preserve"> PAGEREF _Toc8311 \h </w:instrText>
      </w:r>
      <w:r>
        <w:fldChar w:fldCharType="separate"/>
      </w:r>
      <w:r>
        <w:t>- 9 -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_Toc10729 </w:instrText>
      </w:r>
      <w:r>
        <w:rPr>
          <w:rFonts w:hint="eastAsia" w:ascii="宋体" w:hAnsi="宋体"/>
          <w:szCs w:val="21"/>
        </w:rPr>
        <w:fldChar w:fldCharType="separate"/>
      </w:r>
      <w:r>
        <w:rPr>
          <w:rFonts w:hint="eastAsia"/>
          <w:szCs w:val="24"/>
        </w:rPr>
        <w:t>二、评审方法</w:t>
      </w:r>
      <w:r>
        <w:tab/>
      </w:r>
      <w:r>
        <w:fldChar w:fldCharType="begin"/>
      </w:r>
      <w:r>
        <w:instrText xml:space="preserve"> PAGEREF _Toc10729 \h </w:instrText>
      </w:r>
      <w:r>
        <w:fldChar w:fldCharType="separate"/>
      </w:r>
      <w:r>
        <w:t>- 10 -</w:t>
      </w:r>
      <w:r>
        <w:fldChar w:fldCharType="end"/>
      </w:r>
      <w:r>
        <w:rPr>
          <w:rFonts w:hint="eastAsia" w:ascii="宋体" w:hAnsi="宋体"/>
          <w:color w:val="auto"/>
          <w:szCs w:val="21"/>
        </w:rPr>
        <w:fldChar w:fldCharType="end"/>
      </w:r>
    </w:p>
    <w:p>
      <w:pPr>
        <w:pStyle w:val="38"/>
        <w:tabs>
          <w:tab w:val="right" w:leader="dot" w:pos="9412"/>
          <w:tab w:val="clear" w:pos="1260"/>
          <w:tab w:val="clear" w:pos="1685"/>
          <w:tab w:val="clear" w:pos="8400"/>
        </w:tabs>
      </w:pPr>
      <w:r>
        <w:rPr>
          <w:rFonts w:hint="eastAsia" w:ascii="宋体" w:hAnsi="宋体"/>
          <w:color w:val="auto"/>
          <w:szCs w:val="21"/>
        </w:rPr>
        <w:fldChar w:fldCharType="begin"/>
      </w:r>
      <w:r>
        <w:rPr>
          <w:rFonts w:hint="eastAsia" w:ascii="宋体" w:hAnsi="宋体"/>
          <w:szCs w:val="21"/>
        </w:rPr>
        <w:instrText xml:space="preserve"> HYPERLINK \l _Toc17411 </w:instrText>
      </w:r>
      <w:r>
        <w:rPr>
          <w:rFonts w:hint="eastAsia" w:ascii="宋体" w:hAnsi="宋体"/>
          <w:szCs w:val="21"/>
        </w:rPr>
        <w:fldChar w:fldCharType="separate"/>
      </w:r>
      <w:r>
        <w:rPr>
          <w:rFonts w:hint="eastAsia" w:ascii="宋体" w:hAnsi="宋体" w:eastAsia="宋体"/>
        </w:rPr>
        <w:t>第四篇  供应商须知</w:t>
      </w:r>
      <w:r>
        <w:tab/>
      </w:r>
      <w:r>
        <w:fldChar w:fldCharType="begin"/>
      </w:r>
      <w:r>
        <w:instrText xml:space="preserve"> PAGEREF _Toc17411 \h </w:instrText>
      </w:r>
      <w:r>
        <w:fldChar w:fldCharType="separate"/>
      </w:r>
      <w:r>
        <w:t>- 14 -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_Toc10767 </w:instrText>
      </w:r>
      <w:r>
        <w:rPr>
          <w:rFonts w:hint="eastAsia" w:ascii="宋体" w:hAnsi="宋体"/>
          <w:szCs w:val="21"/>
        </w:rPr>
        <w:fldChar w:fldCharType="separate"/>
      </w:r>
      <w:r>
        <w:rPr>
          <w:rFonts w:hint="eastAsia"/>
        </w:rPr>
        <w:t>一、供应商</w:t>
      </w:r>
      <w:r>
        <w:tab/>
      </w:r>
      <w:r>
        <w:fldChar w:fldCharType="begin"/>
      </w:r>
      <w:r>
        <w:instrText xml:space="preserve"> PAGEREF _Toc10767 \h </w:instrText>
      </w:r>
      <w:r>
        <w:fldChar w:fldCharType="separate"/>
      </w:r>
      <w:r>
        <w:t>- 14 -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_Toc5072 </w:instrText>
      </w:r>
      <w:r>
        <w:rPr>
          <w:rFonts w:hint="eastAsia" w:ascii="宋体" w:hAnsi="宋体"/>
          <w:szCs w:val="21"/>
        </w:rPr>
        <w:fldChar w:fldCharType="separate"/>
      </w:r>
      <w:r>
        <w:rPr>
          <w:rFonts w:hint="eastAsia"/>
        </w:rPr>
        <w:t>二、磋商文件</w:t>
      </w:r>
      <w:r>
        <w:tab/>
      </w:r>
      <w:r>
        <w:fldChar w:fldCharType="begin"/>
      </w:r>
      <w:r>
        <w:instrText xml:space="preserve"> PAGEREF _Toc5072 \h </w:instrText>
      </w:r>
      <w:r>
        <w:fldChar w:fldCharType="separate"/>
      </w:r>
      <w:r>
        <w:t>- 14 -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_Toc6163 </w:instrText>
      </w:r>
      <w:r>
        <w:rPr>
          <w:rFonts w:hint="eastAsia" w:ascii="宋体" w:hAnsi="宋体"/>
          <w:szCs w:val="21"/>
        </w:rPr>
        <w:fldChar w:fldCharType="separate"/>
      </w:r>
      <w:r>
        <w:rPr>
          <w:rFonts w:hint="eastAsia"/>
        </w:rPr>
        <w:t>三、响应文件</w:t>
      </w:r>
      <w:r>
        <w:tab/>
      </w:r>
      <w:r>
        <w:fldChar w:fldCharType="begin"/>
      </w:r>
      <w:r>
        <w:instrText xml:space="preserve"> PAGEREF _Toc6163 \h </w:instrText>
      </w:r>
      <w:r>
        <w:fldChar w:fldCharType="separate"/>
      </w:r>
      <w:r>
        <w:t>- 14 -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_Toc18216 </w:instrText>
      </w:r>
      <w:r>
        <w:rPr>
          <w:rFonts w:hint="eastAsia" w:ascii="宋体" w:hAnsi="宋体"/>
          <w:szCs w:val="21"/>
        </w:rPr>
        <w:fldChar w:fldCharType="separate"/>
      </w:r>
      <w:r>
        <w:rPr>
          <w:rFonts w:hint="eastAsia"/>
        </w:rPr>
        <w:t>四、竞争性磋商程序</w:t>
      </w:r>
      <w:r>
        <w:tab/>
      </w:r>
      <w:r>
        <w:fldChar w:fldCharType="begin"/>
      </w:r>
      <w:r>
        <w:instrText xml:space="preserve"> PAGEREF _Toc18216 \h </w:instrText>
      </w:r>
      <w:r>
        <w:fldChar w:fldCharType="separate"/>
      </w:r>
      <w:r>
        <w:t>- 15 -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_Toc17658 </w:instrText>
      </w:r>
      <w:r>
        <w:rPr>
          <w:rFonts w:hint="eastAsia" w:ascii="宋体" w:hAnsi="宋体"/>
          <w:szCs w:val="21"/>
        </w:rPr>
        <w:fldChar w:fldCharType="separate"/>
      </w:r>
      <w:r>
        <w:rPr>
          <w:rFonts w:hint="eastAsia"/>
        </w:rPr>
        <w:t>五、确定成交供应商</w:t>
      </w:r>
      <w:r>
        <w:tab/>
      </w:r>
      <w:r>
        <w:fldChar w:fldCharType="begin"/>
      </w:r>
      <w:r>
        <w:instrText xml:space="preserve"> PAGEREF _Toc17658 \h </w:instrText>
      </w:r>
      <w:r>
        <w:fldChar w:fldCharType="separate"/>
      </w:r>
      <w:r>
        <w:t>- 16 -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_Toc11843 </w:instrText>
      </w:r>
      <w:r>
        <w:rPr>
          <w:rFonts w:hint="eastAsia" w:ascii="宋体" w:hAnsi="宋体"/>
          <w:szCs w:val="21"/>
        </w:rPr>
        <w:fldChar w:fldCharType="separate"/>
      </w:r>
      <w:r>
        <w:rPr>
          <w:rFonts w:hint="eastAsia"/>
        </w:rPr>
        <w:t>六、成交通知书</w:t>
      </w:r>
      <w:r>
        <w:tab/>
      </w:r>
      <w:r>
        <w:fldChar w:fldCharType="begin"/>
      </w:r>
      <w:r>
        <w:instrText xml:space="preserve"> PAGEREF _Toc11843 \h </w:instrText>
      </w:r>
      <w:r>
        <w:fldChar w:fldCharType="separate"/>
      </w:r>
      <w:r>
        <w:t>- 17 -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_Toc32347 </w:instrText>
      </w:r>
      <w:r>
        <w:rPr>
          <w:rFonts w:hint="eastAsia" w:ascii="宋体" w:hAnsi="宋体"/>
          <w:szCs w:val="21"/>
        </w:rPr>
        <w:fldChar w:fldCharType="separate"/>
      </w:r>
      <w:r>
        <w:rPr>
          <w:rFonts w:hint="eastAsia"/>
        </w:rPr>
        <w:t>七、关于质疑和投诉</w:t>
      </w:r>
      <w:r>
        <w:tab/>
      </w:r>
      <w:r>
        <w:fldChar w:fldCharType="begin"/>
      </w:r>
      <w:r>
        <w:instrText xml:space="preserve"> PAGEREF _Toc32347 \h </w:instrText>
      </w:r>
      <w:r>
        <w:fldChar w:fldCharType="separate"/>
      </w:r>
      <w:r>
        <w:t>- 17 -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_Toc3501 </w:instrText>
      </w:r>
      <w:r>
        <w:rPr>
          <w:rFonts w:hint="eastAsia" w:ascii="宋体" w:hAnsi="宋体"/>
          <w:szCs w:val="21"/>
        </w:rPr>
        <w:fldChar w:fldCharType="separate"/>
      </w:r>
      <w:r>
        <w:rPr>
          <w:rFonts w:hint="eastAsia"/>
        </w:rPr>
        <w:t>八、签订合同</w:t>
      </w:r>
      <w:r>
        <w:tab/>
      </w:r>
      <w:r>
        <w:fldChar w:fldCharType="begin"/>
      </w:r>
      <w:r>
        <w:instrText xml:space="preserve"> PAGEREF _Toc3501 \h </w:instrText>
      </w:r>
      <w:r>
        <w:fldChar w:fldCharType="separate"/>
      </w:r>
      <w:r>
        <w:t>- 18 -</w:t>
      </w:r>
      <w:r>
        <w:fldChar w:fldCharType="end"/>
      </w:r>
      <w:r>
        <w:rPr>
          <w:rFonts w:hint="eastAsia" w:ascii="宋体" w:hAnsi="宋体"/>
          <w:color w:val="auto"/>
          <w:szCs w:val="21"/>
        </w:rPr>
        <w:fldChar w:fldCharType="end"/>
      </w:r>
    </w:p>
    <w:p>
      <w:pPr>
        <w:pStyle w:val="38"/>
        <w:tabs>
          <w:tab w:val="right" w:leader="dot" w:pos="9412"/>
          <w:tab w:val="clear" w:pos="1260"/>
          <w:tab w:val="clear" w:pos="1685"/>
          <w:tab w:val="clear" w:pos="8400"/>
        </w:tabs>
      </w:pPr>
      <w:r>
        <w:rPr>
          <w:rFonts w:hint="eastAsia" w:ascii="宋体" w:hAnsi="宋体"/>
          <w:color w:val="auto"/>
          <w:szCs w:val="21"/>
        </w:rPr>
        <w:fldChar w:fldCharType="begin"/>
      </w:r>
      <w:r>
        <w:rPr>
          <w:rFonts w:hint="eastAsia" w:ascii="宋体" w:hAnsi="宋体"/>
          <w:szCs w:val="21"/>
        </w:rPr>
        <w:instrText xml:space="preserve"> HYPERLINK \l _Toc13978 </w:instrText>
      </w:r>
      <w:r>
        <w:rPr>
          <w:rFonts w:hint="eastAsia" w:ascii="宋体" w:hAnsi="宋体"/>
          <w:szCs w:val="21"/>
        </w:rPr>
        <w:fldChar w:fldCharType="separate"/>
      </w:r>
      <w:r>
        <w:rPr>
          <w:rFonts w:hint="eastAsia" w:ascii="宋体" w:hAnsi="宋体" w:eastAsia="宋体"/>
        </w:rPr>
        <w:t>第五篇  合同</w:t>
      </w:r>
      <w:r>
        <w:tab/>
      </w:r>
      <w:r>
        <w:fldChar w:fldCharType="begin"/>
      </w:r>
      <w:r>
        <w:instrText xml:space="preserve"> PAGEREF _Toc13978 \h </w:instrText>
      </w:r>
      <w:r>
        <w:fldChar w:fldCharType="separate"/>
      </w:r>
      <w:r>
        <w:t>- 19 -</w:t>
      </w:r>
      <w:r>
        <w:fldChar w:fldCharType="end"/>
      </w:r>
      <w:r>
        <w:rPr>
          <w:rFonts w:hint="eastAsia" w:ascii="宋体" w:hAnsi="宋体"/>
          <w:color w:val="auto"/>
          <w:szCs w:val="21"/>
        </w:rPr>
        <w:fldChar w:fldCharType="end"/>
      </w:r>
    </w:p>
    <w:p>
      <w:pPr>
        <w:pStyle w:val="38"/>
        <w:tabs>
          <w:tab w:val="right" w:leader="dot" w:pos="9412"/>
          <w:tab w:val="clear" w:pos="1260"/>
          <w:tab w:val="clear" w:pos="1685"/>
          <w:tab w:val="clear" w:pos="8400"/>
        </w:tabs>
      </w:pPr>
      <w:r>
        <w:rPr>
          <w:rFonts w:hint="eastAsia" w:ascii="宋体" w:hAnsi="宋体"/>
          <w:color w:val="auto"/>
          <w:szCs w:val="21"/>
        </w:rPr>
        <w:fldChar w:fldCharType="begin"/>
      </w:r>
      <w:r>
        <w:rPr>
          <w:rFonts w:hint="eastAsia" w:ascii="宋体" w:hAnsi="宋体"/>
          <w:szCs w:val="21"/>
        </w:rPr>
        <w:instrText xml:space="preserve"> HYPERLINK \l _Toc30234 </w:instrText>
      </w:r>
      <w:r>
        <w:rPr>
          <w:rFonts w:hint="eastAsia" w:ascii="宋体" w:hAnsi="宋体"/>
          <w:szCs w:val="21"/>
        </w:rPr>
        <w:fldChar w:fldCharType="separate"/>
      </w:r>
      <w:r>
        <w:rPr>
          <w:rFonts w:hint="eastAsia" w:ascii="宋体" w:hAnsi="宋体" w:eastAsia="宋体"/>
        </w:rPr>
        <w:t>第六篇  响应文件格式</w:t>
      </w:r>
      <w:r>
        <w:tab/>
      </w:r>
      <w:r>
        <w:fldChar w:fldCharType="begin"/>
      </w:r>
      <w:r>
        <w:instrText xml:space="preserve"> PAGEREF _Toc30234 \h </w:instrText>
      </w:r>
      <w:r>
        <w:fldChar w:fldCharType="separate"/>
      </w:r>
      <w:r>
        <w:t>- 21 -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_Toc3060 </w:instrText>
      </w:r>
      <w:r>
        <w:rPr>
          <w:rFonts w:hint="eastAsia" w:ascii="宋体" w:hAnsi="宋体"/>
          <w:szCs w:val="21"/>
        </w:rPr>
        <w:fldChar w:fldCharType="separate"/>
      </w:r>
      <w:r>
        <w:rPr>
          <w:rFonts w:hint="eastAsia"/>
          <w:szCs w:val="28"/>
        </w:rPr>
        <w:t>一、经济文件</w:t>
      </w:r>
      <w:r>
        <w:tab/>
      </w:r>
      <w:r>
        <w:fldChar w:fldCharType="begin"/>
      </w:r>
      <w:r>
        <w:instrText xml:space="preserve"> PAGEREF _Toc3060 \h </w:instrText>
      </w:r>
      <w:r>
        <w:fldChar w:fldCharType="separate"/>
      </w:r>
      <w:r>
        <w:t>- 22 -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_Toc965 </w:instrText>
      </w:r>
      <w:r>
        <w:rPr>
          <w:rFonts w:hint="eastAsia" w:ascii="宋体" w:hAnsi="宋体"/>
          <w:szCs w:val="21"/>
        </w:rPr>
        <w:fldChar w:fldCharType="separate"/>
      </w:r>
      <w:r>
        <w:rPr>
          <w:rFonts w:hint="eastAsia"/>
          <w:szCs w:val="28"/>
        </w:rPr>
        <w:t>二、资格文件</w:t>
      </w:r>
      <w:r>
        <w:tab/>
      </w:r>
      <w:r>
        <w:fldChar w:fldCharType="begin"/>
      </w:r>
      <w:r>
        <w:instrText xml:space="preserve"> PAGEREF _Toc965 \h </w:instrText>
      </w:r>
      <w:r>
        <w:fldChar w:fldCharType="separate"/>
      </w:r>
      <w:r>
        <w:t>- 24 -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_Toc3300 </w:instrText>
      </w:r>
      <w:r>
        <w:rPr>
          <w:rFonts w:hint="eastAsia" w:ascii="宋体" w:hAnsi="宋体"/>
          <w:szCs w:val="21"/>
        </w:rPr>
        <w:fldChar w:fldCharType="separate"/>
      </w:r>
      <w:r>
        <w:rPr>
          <w:rFonts w:hint="eastAsia"/>
          <w:szCs w:val="28"/>
        </w:rPr>
        <w:t>三、服务响应文件</w:t>
      </w:r>
      <w:r>
        <w:tab/>
      </w:r>
      <w:r>
        <w:fldChar w:fldCharType="begin"/>
      </w:r>
      <w:r>
        <w:instrText xml:space="preserve"> PAGEREF _Toc3300 \h </w:instrText>
      </w:r>
      <w:r>
        <w:fldChar w:fldCharType="separate"/>
      </w:r>
      <w:r>
        <w:t>- 29 -</w:t>
      </w:r>
      <w:r>
        <w:fldChar w:fldCharType="end"/>
      </w:r>
      <w:r>
        <w:rPr>
          <w:rFonts w:hint="eastAsia" w:ascii="宋体" w:hAnsi="宋体"/>
          <w:color w:val="auto"/>
          <w:szCs w:val="21"/>
        </w:rPr>
        <w:fldChar w:fldCharType="end"/>
      </w:r>
    </w:p>
    <w:p>
      <w:pPr>
        <w:pStyle w:val="46"/>
        <w:tabs>
          <w:tab w:val="right" w:leader="dot" w:pos="9412"/>
          <w:tab w:val="clear" w:pos="8400"/>
        </w:tabs>
      </w:pPr>
      <w:r>
        <w:rPr>
          <w:rFonts w:hint="eastAsia" w:ascii="宋体" w:hAnsi="宋体"/>
          <w:color w:val="auto"/>
          <w:szCs w:val="21"/>
        </w:rPr>
        <w:fldChar w:fldCharType="begin"/>
      </w:r>
      <w:r>
        <w:rPr>
          <w:rFonts w:hint="eastAsia" w:ascii="宋体" w:hAnsi="宋体"/>
          <w:szCs w:val="21"/>
        </w:rPr>
        <w:instrText xml:space="preserve"> HYPERLINK \l _Toc2499 </w:instrText>
      </w:r>
      <w:r>
        <w:rPr>
          <w:rFonts w:hint="eastAsia" w:ascii="宋体" w:hAnsi="宋体"/>
          <w:szCs w:val="21"/>
        </w:rPr>
        <w:fldChar w:fldCharType="separate"/>
      </w:r>
      <w:r>
        <w:rPr>
          <w:rFonts w:hint="eastAsia"/>
          <w:szCs w:val="28"/>
        </w:rPr>
        <w:t>四、其他</w:t>
      </w:r>
      <w:r>
        <w:tab/>
      </w:r>
      <w:r>
        <w:fldChar w:fldCharType="begin"/>
      </w:r>
      <w:r>
        <w:instrText xml:space="preserve"> PAGEREF _Toc2499 \h </w:instrText>
      </w:r>
      <w:r>
        <w:fldChar w:fldCharType="separate"/>
      </w:r>
      <w:r>
        <w:t>- 32 -</w:t>
      </w:r>
      <w:r>
        <w:fldChar w:fldCharType="end"/>
      </w:r>
      <w:r>
        <w:rPr>
          <w:rFonts w:hint="eastAsia" w:ascii="宋体" w:hAnsi="宋体"/>
          <w:color w:val="auto"/>
          <w:szCs w:val="21"/>
        </w:rPr>
        <w:fldChar w:fldCharType="end"/>
      </w:r>
    </w:p>
    <w:p>
      <w:pPr>
        <w:pStyle w:val="38"/>
        <w:spacing w:line="276" w:lineRule="auto"/>
        <w:ind w:firstLine="0" w:firstLineChars="0"/>
        <w:rPr>
          <w:rFonts w:hint="eastAsia" w:ascii="宋体" w:hAnsi="宋体"/>
          <w:color w:val="auto"/>
          <w:sz w:val="32"/>
        </w:rPr>
        <w:sectPr>
          <w:pgSz w:w="11907" w:h="16840"/>
          <w:pgMar w:top="1134" w:right="1191" w:bottom="1134" w:left="1304" w:header="964" w:footer="992" w:gutter="0"/>
          <w:pgNumType w:fmt="numberInDash" w:start="1"/>
          <w:cols w:space="720" w:num="1"/>
          <w:docGrid w:linePitch="312" w:charSpace="0"/>
        </w:sectPr>
      </w:pPr>
      <w:r>
        <w:rPr>
          <w:rFonts w:hint="eastAsia" w:ascii="宋体" w:hAnsi="宋体"/>
          <w:color w:val="auto"/>
          <w:szCs w:val="21"/>
        </w:rPr>
        <w:fldChar w:fldCharType="end"/>
      </w:r>
    </w:p>
    <w:p>
      <w:pPr>
        <w:pStyle w:val="2"/>
        <w:numPr>
          <w:ilvl w:val="0"/>
          <w:numId w:val="16"/>
        </w:numPr>
        <w:spacing w:before="0" w:beforeLines="0" w:after="0" w:afterLines="0" w:line="276" w:lineRule="auto"/>
        <w:ind w:left="1531" w:hanging="1531"/>
        <w:rPr>
          <w:rFonts w:hint="eastAsia" w:ascii="宋体" w:hAnsi="宋体" w:eastAsia="宋体"/>
          <w:color w:val="auto"/>
        </w:rPr>
      </w:pPr>
      <w:bookmarkStart w:id="0" w:name="_Toc29529"/>
      <w:bookmarkStart w:id="1" w:name="_Toc441065652"/>
      <w:r>
        <w:rPr>
          <w:rFonts w:hint="eastAsia" w:ascii="宋体" w:hAnsi="宋体" w:eastAsia="宋体"/>
          <w:color w:val="auto"/>
        </w:rPr>
        <w:t>竞争性磋商邀请书</w:t>
      </w:r>
      <w:bookmarkEnd w:id="0"/>
      <w:bookmarkEnd w:id="1"/>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采购人将对以下项目进行竞争性磋商，欢迎有资格的供应商参与磋商。</w:t>
      </w:r>
    </w:p>
    <w:p>
      <w:pPr>
        <w:pStyle w:val="3"/>
        <w:spacing w:before="120" w:beforeLines="50" w:line="276" w:lineRule="auto"/>
        <w:ind w:firstLine="482" w:firstLineChars="200"/>
        <w:rPr>
          <w:rFonts w:hint="eastAsia"/>
          <w:b/>
          <w:color w:val="auto"/>
          <w:sz w:val="24"/>
        </w:rPr>
      </w:pPr>
      <w:bookmarkStart w:id="2" w:name="_Toc16105"/>
      <w:bookmarkStart w:id="3" w:name="_Toc441065653"/>
      <w:r>
        <w:rPr>
          <w:rFonts w:hint="eastAsia"/>
          <w:b/>
          <w:color w:val="auto"/>
          <w:sz w:val="24"/>
        </w:rPr>
        <w:t>一、项目内容</w:t>
      </w:r>
      <w:bookmarkEnd w:id="2"/>
      <w:bookmarkEnd w:id="3"/>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239"/>
        <w:gridCol w:w="1337"/>
        <w:gridCol w:w="151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2" w:type="dxa"/>
            <w:noWrap w:val="0"/>
            <w:vAlign w:val="center"/>
          </w:tcPr>
          <w:p>
            <w:pPr>
              <w:pStyle w:val="23"/>
              <w:spacing w:line="276" w:lineRule="auto"/>
              <w:ind w:left="0"/>
              <w:jc w:val="center"/>
              <w:outlineLvl w:val="0"/>
              <w:rPr>
                <w:rFonts w:hint="eastAsia" w:ascii="宋体" w:hAnsi="宋体"/>
                <w:color w:val="auto"/>
                <w:sz w:val="24"/>
                <w:szCs w:val="24"/>
              </w:rPr>
            </w:pPr>
            <w:r>
              <w:rPr>
                <w:rFonts w:hint="eastAsia" w:ascii="宋体" w:hAnsi="宋体"/>
                <w:color w:val="auto"/>
                <w:sz w:val="24"/>
                <w:szCs w:val="24"/>
                <w:lang w:eastAsia="zh-CN"/>
              </w:rPr>
              <w:t>序号</w:t>
            </w:r>
          </w:p>
        </w:tc>
        <w:tc>
          <w:tcPr>
            <w:tcW w:w="2239" w:type="dxa"/>
            <w:noWrap w:val="0"/>
            <w:vAlign w:val="center"/>
          </w:tcPr>
          <w:p>
            <w:pPr>
              <w:pStyle w:val="23"/>
              <w:spacing w:line="276" w:lineRule="auto"/>
              <w:ind w:left="0"/>
              <w:jc w:val="center"/>
              <w:outlineLvl w:val="0"/>
              <w:rPr>
                <w:rFonts w:hint="eastAsia" w:ascii="宋体" w:hAnsi="宋体"/>
                <w:color w:val="auto"/>
                <w:sz w:val="24"/>
                <w:szCs w:val="24"/>
              </w:rPr>
            </w:pPr>
            <w:r>
              <w:rPr>
                <w:rFonts w:hint="eastAsia" w:ascii="宋体" w:hAnsi="宋体"/>
                <w:color w:val="auto"/>
                <w:sz w:val="24"/>
                <w:szCs w:val="24"/>
              </w:rPr>
              <w:t>项目名称</w:t>
            </w:r>
          </w:p>
        </w:tc>
        <w:tc>
          <w:tcPr>
            <w:tcW w:w="1337" w:type="dxa"/>
            <w:noWrap w:val="0"/>
            <w:vAlign w:val="center"/>
          </w:tcPr>
          <w:p>
            <w:pPr>
              <w:pStyle w:val="23"/>
              <w:spacing w:line="276" w:lineRule="auto"/>
              <w:ind w:left="0"/>
              <w:jc w:val="center"/>
              <w:outlineLvl w:val="0"/>
              <w:rPr>
                <w:rFonts w:hint="eastAsia" w:ascii="宋体" w:hAnsi="宋体"/>
                <w:color w:val="auto"/>
                <w:sz w:val="24"/>
                <w:szCs w:val="24"/>
              </w:rPr>
            </w:pPr>
            <w:r>
              <w:rPr>
                <w:rFonts w:hint="eastAsia" w:ascii="宋体" w:hAnsi="宋体"/>
                <w:color w:val="auto"/>
                <w:sz w:val="24"/>
                <w:szCs w:val="24"/>
              </w:rPr>
              <w:t>最高限价</w:t>
            </w:r>
          </w:p>
          <w:p>
            <w:pPr>
              <w:pStyle w:val="23"/>
              <w:spacing w:line="276" w:lineRule="auto"/>
              <w:ind w:left="0"/>
              <w:jc w:val="center"/>
              <w:outlineLvl w:val="0"/>
              <w:rPr>
                <w:rFonts w:hint="eastAsia" w:ascii="宋体" w:hAnsi="宋体"/>
                <w:color w:val="auto"/>
                <w:sz w:val="24"/>
                <w:szCs w:val="24"/>
              </w:rPr>
            </w:pPr>
            <w:r>
              <w:rPr>
                <w:rFonts w:hint="eastAsia" w:ascii="宋体" w:hAnsi="宋体"/>
                <w:color w:val="auto"/>
                <w:sz w:val="24"/>
                <w:szCs w:val="24"/>
              </w:rPr>
              <w:t>（万元）</w:t>
            </w:r>
          </w:p>
        </w:tc>
        <w:tc>
          <w:tcPr>
            <w:tcW w:w="1511" w:type="dxa"/>
            <w:noWrap w:val="0"/>
            <w:vAlign w:val="center"/>
          </w:tcPr>
          <w:p>
            <w:pPr>
              <w:pStyle w:val="23"/>
              <w:spacing w:line="276" w:lineRule="auto"/>
              <w:ind w:left="0"/>
              <w:jc w:val="center"/>
              <w:outlineLvl w:val="0"/>
              <w:rPr>
                <w:rFonts w:hint="eastAsia" w:ascii="宋体" w:hAnsi="宋体"/>
                <w:color w:val="auto"/>
                <w:sz w:val="24"/>
                <w:szCs w:val="24"/>
              </w:rPr>
            </w:pPr>
            <w:r>
              <w:rPr>
                <w:rFonts w:hint="eastAsia" w:ascii="宋体" w:hAnsi="宋体"/>
                <w:color w:val="auto"/>
                <w:sz w:val="24"/>
                <w:szCs w:val="24"/>
              </w:rPr>
              <w:t>磋商保证金</w:t>
            </w:r>
          </w:p>
          <w:p>
            <w:pPr>
              <w:pStyle w:val="23"/>
              <w:spacing w:line="276" w:lineRule="auto"/>
              <w:ind w:left="0"/>
              <w:jc w:val="center"/>
              <w:outlineLvl w:val="0"/>
              <w:rPr>
                <w:rFonts w:hint="eastAsia" w:ascii="宋体" w:hAnsi="宋体"/>
                <w:color w:val="auto"/>
                <w:sz w:val="24"/>
                <w:szCs w:val="24"/>
              </w:rPr>
            </w:pPr>
            <w:r>
              <w:rPr>
                <w:rFonts w:hint="eastAsia" w:ascii="宋体" w:hAnsi="宋体"/>
                <w:color w:val="auto"/>
                <w:sz w:val="24"/>
                <w:szCs w:val="24"/>
              </w:rPr>
              <w:t>（万元）</w:t>
            </w:r>
          </w:p>
        </w:tc>
        <w:tc>
          <w:tcPr>
            <w:tcW w:w="1158" w:type="dxa"/>
            <w:noWrap w:val="0"/>
            <w:vAlign w:val="center"/>
          </w:tcPr>
          <w:p>
            <w:pPr>
              <w:pStyle w:val="23"/>
              <w:spacing w:line="276" w:lineRule="auto"/>
              <w:ind w:left="0"/>
              <w:jc w:val="center"/>
              <w:outlineLvl w:val="0"/>
              <w:rPr>
                <w:rFonts w:hint="eastAsia" w:ascii="宋体" w:hAnsi="宋体"/>
                <w:color w:val="auto"/>
                <w:sz w:val="24"/>
                <w:szCs w:val="24"/>
              </w:rPr>
            </w:pPr>
            <w:r>
              <w:rPr>
                <w:rFonts w:hint="eastAsia" w:ascii="宋体" w:hAnsi="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3" w:hRule="atLeast"/>
          <w:jc w:val="center"/>
        </w:trPr>
        <w:tc>
          <w:tcPr>
            <w:tcW w:w="762" w:type="dxa"/>
            <w:noWrap w:val="0"/>
            <w:vAlign w:val="center"/>
          </w:tcPr>
          <w:p>
            <w:pPr>
              <w:pStyle w:val="15"/>
              <w:spacing w:line="276" w:lineRule="auto"/>
              <w:ind w:firstLine="0"/>
              <w:jc w:val="center"/>
              <w:outlineLvl w:val="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1</w:t>
            </w:r>
          </w:p>
        </w:tc>
        <w:tc>
          <w:tcPr>
            <w:tcW w:w="2239" w:type="dxa"/>
            <w:noWrap w:val="0"/>
            <w:vAlign w:val="center"/>
          </w:tcPr>
          <w:p>
            <w:pPr>
              <w:keepNext w:val="0"/>
              <w:keepLines w:val="0"/>
              <w:widowControl/>
              <w:suppressLineNumbers w:val="0"/>
              <w:jc w:val="left"/>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透析患者院后管理交互智能平台</w:t>
            </w:r>
          </w:p>
        </w:tc>
        <w:tc>
          <w:tcPr>
            <w:tcW w:w="1337" w:type="dxa"/>
            <w:noWrap w:val="0"/>
            <w:vAlign w:val="center"/>
          </w:tcPr>
          <w:p>
            <w:pPr>
              <w:pStyle w:val="23"/>
              <w:spacing w:line="276" w:lineRule="auto"/>
              <w:ind w:left="0"/>
              <w:jc w:val="center"/>
              <w:outlineLvl w:val="0"/>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15</w:t>
            </w:r>
          </w:p>
        </w:tc>
        <w:tc>
          <w:tcPr>
            <w:tcW w:w="1511" w:type="dxa"/>
            <w:noWrap w:val="0"/>
            <w:vAlign w:val="center"/>
          </w:tcPr>
          <w:p>
            <w:pPr>
              <w:pStyle w:val="23"/>
              <w:spacing w:line="276" w:lineRule="auto"/>
              <w:ind w:left="0"/>
              <w:jc w:val="center"/>
              <w:outlineLvl w:val="0"/>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0</w:t>
            </w:r>
          </w:p>
        </w:tc>
        <w:tc>
          <w:tcPr>
            <w:tcW w:w="1158" w:type="dxa"/>
            <w:noWrap w:val="0"/>
            <w:vAlign w:val="top"/>
          </w:tcPr>
          <w:p>
            <w:pPr>
              <w:pStyle w:val="15"/>
              <w:spacing w:line="276" w:lineRule="auto"/>
              <w:ind w:firstLine="0"/>
              <w:outlineLvl w:val="0"/>
              <w:rPr>
                <w:rFonts w:hint="eastAsia" w:ascii="宋体" w:hAnsi="宋体" w:eastAsia="宋体"/>
                <w:color w:val="auto"/>
                <w:szCs w:val="24"/>
                <w:lang w:val="en-US" w:eastAsia="zh-CN"/>
              </w:rPr>
            </w:pPr>
          </w:p>
        </w:tc>
      </w:tr>
    </w:tbl>
    <w:p>
      <w:pPr>
        <w:pStyle w:val="3"/>
        <w:spacing w:before="120" w:beforeLines="50" w:line="276" w:lineRule="auto"/>
        <w:ind w:firstLine="482" w:firstLineChars="200"/>
        <w:rPr>
          <w:rFonts w:hint="eastAsia"/>
          <w:b/>
          <w:color w:val="auto"/>
          <w:sz w:val="24"/>
        </w:rPr>
      </w:pPr>
      <w:bookmarkStart w:id="4" w:name="_Toc441065655"/>
      <w:bookmarkStart w:id="5" w:name="_Toc19683"/>
      <w:r>
        <w:rPr>
          <w:rFonts w:hint="eastAsia"/>
          <w:b/>
          <w:color w:val="auto"/>
          <w:sz w:val="24"/>
          <w:lang w:eastAsia="zh-CN"/>
        </w:rPr>
        <w:t>二</w:t>
      </w:r>
      <w:r>
        <w:rPr>
          <w:rFonts w:hint="eastAsia"/>
          <w:b/>
          <w:color w:val="auto"/>
          <w:sz w:val="24"/>
        </w:rPr>
        <w:t>、供应商资格要求</w:t>
      </w:r>
      <w:bookmarkEnd w:id="4"/>
      <w:bookmarkEnd w:id="5"/>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合格供应商应首先符合政府采购法第二十二条规定的基本条件，同时符合根据该项目特点设置的特定资格条件。</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（一）基本资格条件</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1、具有独立承担民事责任的能力；</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2、具有良好的商业信誉和健全的财务会计制度；</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3、具有履行合同所必需的设备和专业技术能力；</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4、有依法缴纳税收和社会保障资金的良好记录；</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5、参加政府采购活动前三年内，在经营活动中没有重大违法记录;</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6、法律、行政法规规定的其他条件。</w:t>
      </w:r>
    </w:p>
    <w:p>
      <w:pPr>
        <w:spacing w:line="276" w:lineRule="auto"/>
        <w:ind w:firstLine="480" w:firstLineChars="200"/>
        <w:rPr>
          <w:rFonts w:hint="eastAsia" w:ascii="宋体" w:hAnsi="宋体"/>
          <w:color w:val="auto"/>
          <w:sz w:val="24"/>
          <w:szCs w:val="24"/>
          <w:lang w:val="en-US" w:eastAsia="zh-CN"/>
        </w:rPr>
      </w:pPr>
      <w:r>
        <w:rPr>
          <w:rFonts w:hint="eastAsia" w:ascii="宋体" w:hAnsi="宋体"/>
          <w:color w:val="auto"/>
          <w:sz w:val="24"/>
          <w:szCs w:val="24"/>
        </w:rPr>
        <w:t>（二）特定资格条件：</w:t>
      </w:r>
      <w:r>
        <w:rPr>
          <w:rFonts w:hint="eastAsia" w:ascii="宋体" w:hAnsi="宋体"/>
          <w:color w:val="auto"/>
          <w:sz w:val="24"/>
          <w:szCs w:val="24"/>
          <w:lang w:eastAsia="zh-CN"/>
        </w:rPr>
        <w:t>无</w:t>
      </w:r>
    </w:p>
    <w:p>
      <w:pPr>
        <w:spacing w:line="276" w:lineRule="auto"/>
        <w:ind w:firstLine="482" w:firstLineChars="200"/>
        <w:rPr>
          <w:rFonts w:hint="eastAsia" w:ascii="宋体" w:hAnsi="宋体" w:eastAsia="宋体"/>
          <w:b/>
          <w:color w:val="auto"/>
          <w:sz w:val="24"/>
          <w:szCs w:val="24"/>
          <w:lang w:val="en-US" w:eastAsia="zh-CN"/>
        </w:rPr>
      </w:pPr>
      <w:r>
        <w:rPr>
          <w:rFonts w:hint="eastAsia" w:ascii="宋体" w:hAnsi="宋体"/>
          <w:b/>
          <w:color w:val="auto"/>
          <w:sz w:val="24"/>
          <w:szCs w:val="24"/>
        </w:rPr>
        <w:t>特别说明：本项目不接受联合体参与</w:t>
      </w:r>
      <w:r>
        <w:rPr>
          <w:rFonts w:hint="eastAsia" w:ascii="宋体" w:hAnsi="宋体"/>
          <w:b/>
          <w:color w:val="auto"/>
          <w:sz w:val="24"/>
          <w:szCs w:val="24"/>
          <w:lang w:eastAsia="zh-CN"/>
        </w:rPr>
        <w:t>投标</w:t>
      </w:r>
    </w:p>
    <w:p>
      <w:pPr>
        <w:pStyle w:val="3"/>
        <w:spacing w:before="120" w:beforeLines="50" w:line="276" w:lineRule="auto"/>
        <w:ind w:firstLine="482" w:firstLineChars="200"/>
        <w:rPr>
          <w:rFonts w:hint="eastAsia"/>
          <w:b/>
          <w:color w:val="auto"/>
          <w:sz w:val="24"/>
          <w:lang w:eastAsia="zh-CN"/>
        </w:rPr>
      </w:pPr>
      <w:bookmarkStart w:id="6" w:name="_Toc441065656"/>
      <w:bookmarkStart w:id="7" w:name="_Toc9573"/>
      <w:bookmarkStart w:id="8" w:name="_Toc30947"/>
      <w:bookmarkStart w:id="9" w:name="_Toc69482339"/>
      <w:bookmarkStart w:id="10" w:name="_Toc532"/>
      <w:bookmarkStart w:id="11" w:name="_Toc10309"/>
      <w:bookmarkStart w:id="12" w:name="_Toc1714"/>
      <w:bookmarkStart w:id="13" w:name="_Toc20131"/>
      <w:bookmarkStart w:id="14" w:name="_Toc17937"/>
      <w:bookmarkStart w:id="15" w:name="_Toc5940"/>
      <w:bookmarkStart w:id="16" w:name="_Toc1937"/>
      <w:bookmarkStart w:id="17" w:name="_Toc4185"/>
      <w:r>
        <w:rPr>
          <w:rFonts w:hint="eastAsia"/>
          <w:b/>
          <w:color w:val="auto"/>
          <w:sz w:val="24"/>
          <w:lang w:eastAsia="zh-CN"/>
        </w:rPr>
        <w:t>三、</w:t>
      </w:r>
      <w:bookmarkEnd w:id="6"/>
      <w:r>
        <w:rPr>
          <w:rFonts w:hint="eastAsia"/>
          <w:b/>
          <w:color w:val="auto"/>
          <w:sz w:val="24"/>
          <w:lang w:eastAsia="zh-CN"/>
        </w:rPr>
        <w:t>投标报名</w:t>
      </w:r>
      <w:bookmarkEnd w:id="7"/>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凡有意参加磋商的供应商，自行下载</w:t>
      </w:r>
      <w:r>
        <w:rPr>
          <w:rFonts w:hint="eastAsia" w:ascii="宋体" w:hAnsi="宋体"/>
          <w:color w:val="auto"/>
          <w:sz w:val="24"/>
          <w:szCs w:val="24"/>
          <w:lang w:eastAsia="zh-CN"/>
        </w:rPr>
        <w:t>附件中的采购文件</w:t>
      </w:r>
      <w:r>
        <w:rPr>
          <w:rFonts w:hint="eastAsia" w:ascii="宋体" w:hAnsi="宋体"/>
          <w:color w:val="auto"/>
          <w:sz w:val="24"/>
          <w:szCs w:val="24"/>
        </w:rPr>
        <w:t>，无论供应商下载与否，均视为已知晓所有</w:t>
      </w:r>
      <w:r>
        <w:rPr>
          <w:rFonts w:hint="eastAsia" w:ascii="宋体" w:hAnsi="宋体"/>
          <w:color w:val="auto"/>
          <w:sz w:val="24"/>
          <w:szCs w:val="24"/>
          <w:lang w:eastAsia="zh-CN"/>
        </w:rPr>
        <w:t>采购</w:t>
      </w:r>
      <w:r>
        <w:rPr>
          <w:rFonts w:hint="eastAsia" w:ascii="宋体" w:hAnsi="宋体"/>
          <w:color w:val="auto"/>
          <w:sz w:val="24"/>
          <w:szCs w:val="24"/>
        </w:rPr>
        <w:t>内容</w:t>
      </w:r>
      <w:r>
        <w:rPr>
          <w:rFonts w:hint="eastAsia" w:ascii="宋体" w:hAnsi="宋体"/>
          <w:color w:val="auto"/>
          <w:sz w:val="24"/>
          <w:szCs w:val="24"/>
          <w:lang w:eastAsia="zh-CN"/>
        </w:rPr>
        <w:t>及要求</w:t>
      </w:r>
      <w:r>
        <w:rPr>
          <w:rFonts w:hint="eastAsia" w:ascii="宋体" w:hAnsi="宋体"/>
          <w:color w:val="auto"/>
          <w:sz w:val="24"/>
          <w:szCs w:val="24"/>
        </w:rPr>
        <w:t>。</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1、报名时间</w:t>
      </w:r>
      <w:r>
        <w:rPr>
          <w:rFonts w:hint="eastAsia" w:ascii="宋体" w:hAnsi="宋体"/>
          <w:color w:val="auto"/>
          <w:sz w:val="24"/>
          <w:szCs w:val="24"/>
          <w:lang w:val="en-US" w:eastAsia="zh-CN"/>
        </w:rPr>
        <w:t>(北京时间，余同)</w:t>
      </w:r>
      <w:r>
        <w:rPr>
          <w:rFonts w:hint="eastAsia" w:ascii="宋体" w:hAnsi="宋体"/>
          <w:color w:val="auto"/>
          <w:sz w:val="24"/>
          <w:szCs w:val="24"/>
        </w:rPr>
        <w:t>：2022年2月 28日至3月</w:t>
      </w:r>
      <w:r>
        <w:rPr>
          <w:rFonts w:hint="eastAsia" w:ascii="宋体" w:hAnsi="宋体"/>
          <w:color w:val="auto"/>
          <w:sz w:val="24"/>
          <w:szCs w:val="24"/>
          <w:lang w:val="en-US" w:eastAsia="zh-CN"/>
        </w:rPr>
        <w:t>4</w:t>
      </w:r>
      <w:r>
        <w:rPr>
          <w:rFonts w:hint="eastAsia" w:ascii="宋体" w:hAnsi="宋体"/>
          <w:color w:val="auto"/>
          <w:sz w:val="24"/>
          <w:szCs w:val="24"/>
        </w:rPr>
        <w:t>日</w:t>
      </w:r>
      <w:r>
        <w:rPr>
          <w:rFonts w:hint="eastAsia" w:ascii="宋体" w:hAnsi="宋体"/>
          <w:color w:val="auto"/>
          <w:sz w:val="24"/>
          <w:szCs w:val="24"/>
          <w:lang w:eastAsia="zh-CN"/>
        </w:rPr>
        <w:t>期间：每日上午</w:t>
      </w:r>
      <w:r>
        <w:rPr>
          <w:rFonts w:hint="eastAsia" w:ascii="宋体" w:hAnsi="宋体"/>
          <w:color w:val="auto"/>
          <w:sz w:val="24"/>
          <w:szCs w:val="24"/>
          <w:lang w:val="en-US" w:eastAsia="zh-CN"/>
        </w:rPr>
        <w:t>8:00-12:00，下午14:30-17:30，</w:t>
      </w:r>
      <w:r>
        <w:rPr>
          <w:rFonts w:hint="eastAsia" w:ascii="宋体" w:hAnsi="宋体"/>
          <w:color w:val="auto"/>
          <w:sz w:val="24"/>
          <w:szCs w:val="24"/>
          <w:lang w:eastAsia="zh-CN"/>
        </w:rPr>
        <w:t>法定节假日除外</w:t>
      </w:r>
      <w:r>
        <w:rPr>
          <w:rFonts w:hint="eastAsia" w:ascii="宋体" w:hAnsi="宋体"/>
          <w:color w:val="auto"/>
          <w:sz w:val="24"/>
          <w:szCs w:val="24"/>
        </w:rPr>
        <w:t>。</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2、报名方式：重庆市第九人民医院外科综合楼M层信息科现场报名（地址：重庆市北碚区嘉陵村69号）。</w:t>
      </w:r>
    </w:p>
    <w:p>
      <w:pPr>
        <w:ind w:firstLine="480" w:firstLineChars="200"/>
        <w:rPr>
          <w:rFonts w:hint="eastAsia" w:ascii="宋体" w:hAnsi="宋体" w:eastAsia="宋体" w:cs="宋体"/>
          <w:b/>
          <w:bCs/>
          <w:lang w:eastAsia="zh-CN"/>
        </w:rPr>
      </w:pPr>
      <w:r>
        <w:rPr>
          <w:rFonts w:hint="eastAsia" w:ascii="宋体" w:hAnsi="宋体"/>
          <w:color w:val="auto"/>
          <w:sz w:val="24"/>
          <w:szCs w:val="24"/>
        </w:rPr>
        <w:t>3、报名要求：报名时，必须持投标单位营业执照复印件、经办人的法人授权委托书及本人身份证。</w:t>
      </w:r>
      <w:r>
        <w:rPr>
          <w:rFonts w:hint="eastAsia" w:ascii="宋体" w:hAnsi="宋体"/>
          <w:b/>
          <w:bCs/>
          <w:color w:val="FF0000"/>
          <w:sz w:val="24"/>
          <w:szCs w:val="24"/>
          <w:lang w:eastAsia="zh-CN"/>
        </w:rPr>
        <w:t>注：根据疫情管控要求，来人必须提供防疫健康绿码</w:t>
      </w:r>
    </w:p>
    <w:p>
      <w:pPr>
        <w:pStyle w:val="3"/>
        <w:spacing w:before="120" w:beforeLines="50" w:line="276" w:lineRule="auto"/>
        <w:ind w:firstLine="482" w:firstLineChars="200"/>
        <w:rPr>
          <w:rFonts w:hint="eastAsia"/>
          <w:b/>
          <w:color w:val="auto"/>
          <w:sz w:val="24"/>
        </w:rPr>
      </w:pPr>
      <w:bookmarkStart w:id="18" w:name="_Toc22332"/>
      <w:r>
        <w:rPr>
          <w:rFonts w:hint="eastAsia"/>
          <w:b/>
          <w:color w:val="auto"/>
          <w:sz w:val="24"/>
          <w:lang w:eastAsia="zh-CN"/>
        </w:rPr>
        <w:t>四</w:t>
      </w:r>
      <w:r>
        <w:rPr>
          <w:rFonts w:hint="eastAsia"/>
          <w:b/>
          <w:color w:val="auto"/>
          <w:sz w:val="24"/>
        </w:rPr>
        <w:t>、投标文件递交与磋商</w:t>
      </w:r>
      <w:bookmarkEnd w:id="18"/>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1、递交投标文件开始和截止时间：202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10</w:t>
      </w:r>
      <w:r>
        <w:rPr>
          <w:rFonts w:hint="eastAsia" w:ascii="宋体" w:hAnsi="宋体"/>
          <w:color w:val="auto"/>
          <w:sz w:val="24"/>
          <w:szCs w:val="24"/>
        </w:rPr>
        <w:t>日上午 9:00—</w:t>
      </w:r>
      <w:r>
        <w:rPr>
          <w:rFonts w:hint="eastAsia" w:ascii="宋体" w:hAnsi="宋体"/>
          <w:color w:val="auto"/>
          <w:sz w:val="24"/>
          <w:szCs w:val="24"/>
        </w:rPr>
        <w:t xml:space="preserve">9:30 </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2、磋商开始时间：202</w:t>
      </w:r>
      <w:r>
        <w:rPr>
          <w:rFonts w:hint="eastAsia" w:ascii="宋体" w:hAnsi="宋体"/>
          <w:color w:val="auto"/>
          <w:sz w:val="24"/>
          <w:szCs w:val="24"/>
          <w:lang w:val="en-US" w:eastAsia="zh-CN"/>
        </w:rPr>
        <w:t>2</w:t>
      </w:r>
      <w:r>
        <w:rPr>
          <w:rFonts w:hint="eastAsia" w:ascii="宋体" w:hAnsi="宋体"/>
          <w:color w:val="auto"/>
          <w:sz w:val="24"/>
          <w:szCs w:val="24"/>
        </w:rPr>
        <w:t>年</w:t>
      </w:r>
      <w:r>
        <w:rPr>
          <w:rFonts w:hint="eastAsia" w:ascii="宋体" w:hAnsi="宋体"/>
          <w:color w:val="auto"/>
          <w:sz w:val="24"/>
          <w:szCs w:val="24"/>
          <w:lang w:val="en-US" w:eastAsia="zh-CN"/>
        </w:rPr>
        <w:t>3</w:t>
      </w:r>
      <w:r>
        <w:rPr>
          <w:rFonts w:hint="eastAsia" w:ascii="宋体" w:hAnsi="宋体"/>
          <w:color w:val="auto"/>
          <w:sz w:val="24"/>
          <w:szCs w:val="24"/>
        </w:rPr>
        <w:t>月</w:t>
      </w:r>
      <w:r>
        <w:rPr>
          <w:rFonts w:hint="eastAsia" w:ascii="宋体" w:hAnsi="宋体"/>
          <w:color w:val="auto"/>
          <w:sz w:val="24"/>
          <w:szCs w:val="24"/>
          <w:lang w:val="en-US" w:eastAsia="zh-CN"/>
        </w:rPr>
        <w:t>10</w:t>
      </w:r>
      <w:r>
        <w:rPr>
          <w:rFonts w:hint="eastAsia" w:ascii="宋体" w:hAnsi="宋体"/>
          <w:color w:val="auto"/>
          <w:sz w:val="24"/>
          <w:szCs w:val="24"/>
        </w:rPr>
        <w:t xml:space="preserve">日上午9:30 </w:t>
      </w:r>
    </w:p>
    <w:p>
      <w:pPr>
        <w:snapToGrid w:val="0"/>
        <w:spacing w:line="276" w:lineRule="auto"/>
        <w:ind w:firstLine="480" w:firstLineChars="200"/>
        <w:rPr>
          <w:rFonts w:hint="eastAsia"/>
        </w:rPr>
      </w:pPr>
      <w:r>
        <w:rPr>
          <w:rFonts w:hint="eastAsia" w:ascii="宋体" w:hAnsi="宋体"/>
          <w:color w:val="auto"/>
          <w:sz w:val="24"/>
          <w:szCs w:val="24"/>
        </w:rPr>
        <w:t>注：文件递交和磋商地址：重庆市第九人民医院外科综合楼M层信息科会议室</w:t>
      </w:r>
      <w:r>
        <w:rPr>
          <w:rFonts w:hint="eastAsia" w:ascii="宋体" w:hAnsi="宋体"/>
          <w:color w:val="auto"/>
          <w:sz w:val="24"/>
          <w:szCs w:val="24"/>
          <w:lang w:eastAsia="zh-CN"/>
        </w:rPr>
        <w:t>；</w:t>
      </w:r>
      <w:r>
        <w:rPr>
          <w:rFonts w:hint="eastAsia" w:ascii="宋体" w:hAnsi="宋体"/>
          <w:b/>
          <w:bCs/>
          <w:color w:val="FF0000"/>
          <w:sz w:val="24"/>
          <w:szCs w:val="24"/>
          <w:lang w:eastAsia="zh-CN"/>
        </w:rPr>
        <w:t>根据疫情管控要求，来人必须提供防疫健康绿码</w:t>
      </w:r>
    </w:p>
    <w:p>
      <w:pPr>
        <w:pStyle w:val="3"/>
        <w:spacing w:before="120" w:beforeLines="50" w:line="276" w:lineRule="auto"/>
        <w:ind w:firstLine="482" w:firstLineChars="200"/>
        <w:rPr>
          <w:rFonts w:hint="eastAsia"/>
          <w:b/>
          <w:color w:val="auto"/>
          <w:sz w:val="24"/>
        </w:rPr>
      </w:pPr>
      <w:r>
        <w:rPr>
          <w:rFonts w:hint="eastAsia"/>
          <w:b/>
          <w:color w:val="auto"/>
          <w:sz w:val="24"/>
          <w:lang w:eastAsia="zh-CN"/>
        </w:rPr>
        <w:t>五</w:t>
      </w:r>
      <w:r>
        <w:rPr>
          <w:rFonts w:hint="eastAsia"/>
          <w:b/>
          <w:color w:val="auto"/>
          <w:sz w:val="24"/>
        </w:rPr>
        <w:t>、采购人联系方式</w:t>
      </w:r>
      <w:bookmarkEnd w:id="8"/>
      <w:bookmarkEnd w:id="9"/>
      <w:bookmarkEnd w:id="10"/>
      <w:bookmarkEnd w:id="11"/>
      <w:bookmarkEnd w:id="12"/>
      <w:bookmarkEnd w:id="13"/>
      <w:bookmarkEnd w:id="14"/>
      <w:bookmarkEnd w:id="15"/>
      <w:bookmarkEnd w:id="16"/>
      <w:bookmarkEnd w:id="17"/>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联系人： 李老师、杨老师；  联系电话：023-68209934</w:t>
      </w:r>
    </w:p>
    <w:p>
      <w:pPr>
        <w:pStyle w:val="3"/>
        <w:spacing w:before="120" w:beforeLines="50" w:line="276" w:lineRule="auto"/>
        <w:ind w:firstLine="482" w:firstLineChars="200"/>
        <w:rPr>
          <w:rFonts w:hint="eastAsia"/>
          <w:b/>
          <w:color w:val="auto"/>
          <w:sz w:val="24"/>
        </w:rPr>
      </w:pPr>
      <w:bookmarkStart w:id="19" w:name="_Toc441065657"/>
      <w:bookmarkStart w:id="20" w:name="_Toc32055"/>
      <w:r>
        <w:rPr>
          <w:rFonts w:hint="eastAsia"/>
          <w:b/>
          <w:color w:val="auto"/>
          <w:sz w:val="24"/>
          <w:lang w:eastAsia="zh-CN"/>
        </w:rPr>
        <w:t>六</w:t>
      </w:r>
      <w:r>
        <w:rPr>
          <w:rFonts w:hint="eastAsia"/>
          <w:b/>
          <w:color w:val="auto"/>
          <w:sz w:val="24"/>
        </w:rPr>
        <w:t>、磋商保证金</w:t>
      </w:r>
      <w:bookmarkEnd w:id="19"/>
      <w:bookmarkEnd w:id="20"/>
    </w:p>
    <w:p>
      <w:pPr>
        <w:snapToGrid w:val="0"/>
        <w:spacing w:line="276" w:lineRule="auto"/>
        <w:ind w:firstLine="480" w:firstLineChars="200"/>
        <w:rPr>
          <w:rFonts w:hint="eastAsia" w:ascii="宋体" w:hAnsi="宋体"/>
          <w:b/>
          <w:bCs/>
          <w:color w:val="auto"/>
          <w:sz w:val="24"/>
          <w:szCs w:val="24"/>
        </w:rPr>
      </w:pPr>
      <w:r>
        <w:rPr>
          <w:rFonts w:hint="eastAsia" w:ascii="宋体" w:hAnsi="宋体"/>
          <w:color w:val="auto"/>
          <w:sz w:val="24"/>
          <w:szCs w:val="24"/>
        </w:rPr>
        <w:t>1、供应商应足额交纳磋商保证金（保证金金额详见本篇，一、招标项目内容），并汇至以下账户，磋商保证金的到账截止时间同响应文件提交截止时间。</w:t>
      </w:r>
      <w:r>
        <w:rPr>
          <w:rFonts w:hint="eastAsia" w:ascii="宋体" w:hAnsi="宋体"/>
          <w:b/>
          <w:bCs/>
          <w:color w:val="auto"/>
          <w:sz w:val="24"/>
          <w:szCs w:val="24"/>
        </w:rPr>
        <w:t>（请各潜在供应商在缴纳投标保证金时一定按要求打款至以下指定账户，否则会导致投标无效）</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磋商保证金账户：</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户  名：重庆市第九人民医院</w:t>
      </w:r>
    </w:p>
    <w:tbl>
      <w:tblPr>
        <w:tblStyle w:val="58"/>
        <w:tblW w:w="7893" w:type="dxa"/>
        <w:jc w:val="center"/>
        <w:tblLayout w:type="fixed"/>
        <w:tblCellMar>
          <w:top w:w="0" w:type="dxa"/>
          <w:left w:w="0" w:type="dxa"/>
          <w:bottom w:w="0" w:type="dxa"/>
          <w:right w:w="0" w:type="dxa"/>
        </w:tblCellMar>
      </w:tblPr>
      <w:tblGrid>
        <w:gridCol w:w="2075"/>
        <w:gridCol w:w="5818"/>
      </w:tblGrid>
      <w:tr>
        <w:tblPrEx>
          <w:tblCellMar>
            <w:top w:w="0" w:type="dxa"/>
            <w:left w:w="0" w:type="dxa"/>
            <w:bottom w:w="0" w:type="dxa"/>
            <w:right w:w="0" w:type="dxa"/>
          </w:tblCellMar>
        </w:tblPrEx>
        <w:trPr>
          <w:trHeight w:val="444" w:hRule="exact"/>
          <w:jc w:val="center"/>
        </w:trPr>
        <w:tc>
          <w:tcPr>
            <w:tcW w:w="2075"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76" w:lineRule="auto"/>
              <w:jc w:val="center"/>
              <w:rPr>
                <w:rFonts w:hint="eastAsia" w:ascii="宋体" w:hAnsi="宋体" w:cs="宋体"/>
                <w:color w:val="auto"/>
                <w:spacing w:val="-2"/>
                <w:sz w:val="21"/>
                <w:szCs w:val="21"/>
              </w:rPr>
            </w:pPr>
            <w:r>
              <w:rPr>
                <w:rFonts w:hint="eastAsia" w:ascii="宋体" w:hAnsi="宋体" w:cs="宋体"/>
                <w:color w:val="auto"/>
                <w:spacing w:val="-2"/>
                <w:sz w:val="21"/>
                <w:szCs w:val="21"/>
              </w:rPr>
              <w:t>开户行</w:t>
            </w:r>
          </w:p>
        </w:tc>
        <w:tc>
          <w:tcPr>
            <w:tcW w:w="5818"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76" w:lineRule="auto"/>
              <w:jc w:val="center"/>
              <w:rPr>
                <w:rFonts w:hint="eastAsia" w:ascii="宋体" w:hAnsi="宋体" w:cs="宋体"/>
                <w:color w:val="auto"/>
                <w:spacing w:val="-2"/>
                <w:sz w:val="21"/>
                <w:szCs w:val="21"/>
              </w:rPr>
            </w:pPr>
            <w:r>
              <w:rPr>
                <w:rFonts w:hint="eastAsia" w:ascii="宋体" w:hAnsi="宋体" w:cs="宋体"/>
                <w:color w:val="auto"/>
                <w:spacing w:val="-2"/>
                <w:sz w:val="21"/>
                <w:szCs w:val="21"/>
              </w:rPr>
              <w:t>建行北碚支行</w:t>
            </w:r>
          </w:p>
        </w:tc>
      </w:tr>
      <w:tr>
        <w:tblPrEx>
          <w:tblCellMar>
            <w:top w:w="0" w:type="dxa"/>
            <w:left w:w="0" w:type="dxa"/>
            <w:bottom w:w="0" w:type="dxa"/>
            <w:right w:w="0" w:type="dxa"/>
          </w:tblCellMar>
        </w:tblPrEx>
        <w:trPr>
          <w:trHeight w:val="459" w:hRule="exact"/>
          <w:jc w:val="center"/>
        </w:trPr>
        <w:tc>
          <w:tcPr>
            <w:tcW w:w="2075"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76" w:lineRule="auto"/>
              <w:jc w:val="center"/>
              <w:rPr>
                <w:rFonts w:hint="eastAsia" w:ascii="宋体" w:hAnsi="宋体" w:cs="宋体"/>
                <w:color w:val="auto"/>
                <w:spacing w:val="-2"/>
                <w:sz w:val="21"/>
                <w:szCs w:val="21"/>
              </w:rPr>
            </w:pPr>
            <w:r>
              <w:rPr>
                <w:rFonts w:hint="eastAsia" w:ascii="宋体" w:hAnsi="宋体" w:cs="宋体"/>
                <w:color w:val="auto"/>
                <w:spacing w:val="-2"/>
                <w:sz w:val="21"/>
                <w:szCs w:val="21"/>
              </w:rPr>
              <w:t>账    号</w:t>
            </w:r>
          </w:p>
        </w:tc>
        <w:tc>
          <w:tcPr>
            <w:tcW w:w="5818"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pPr>
              <w:spacing w:line="276" w:lineRule="auto"/>
              <w:jc w:val="center"/>
              <w:rPr>
                <w:rFonts w:hint="eastAsia" w:ascii="宋体" w:hAnsi="宋体" w:cs="宋体"/>
                <w:color w:val="auto"/>
                <w:spacing w:val="-2"/>
                <w:sz w:val="21"/>
                <w:szCs w:val="21"/>
              </w:rPr>
            </w:pPr>
            <w:r>
              <w:rPr>
                <w:rFonts w:hint="eastAsia" w:cs="宋体"/>
                <w:color w:val="auto"/>
                <w:sz w:val="24"/>
              </w:rPr>
              <w:t>5000 1093 6000 5001 2527</w:t>
            </w:r>
          </w:p>
        </w:tc>
      </w:tr>
    </w:tbl>
    <w:p>
      <w:pPr>
        <w:numPr>
          <w:ilvl w:val="0"/>
          <w:numId w:val="17"/>
        </w:numPr>
        <w:snapToGrid w:val="0"/>
        <w:spacing w:line="276" w:lineRule="auto"/>
        <w:ind w:left="22" w:leftChars="0" w:firstLine="480" w:firstLineChars="0"/>
        <w:rPr>
          <w:rFonts w:hint="eastAsia" w:ascii="宋体" w:hAnsi="宋体"/>
          <w:color w:val="auto"/>
          <w:sz w:val="24"/>
          <w:szCs w:val="24"/>
        </w:rPr>
      </w:pPr>
      <w:r>
        <w:rPr>
          <w:rFonts w:hint="eastAsia" w:ascii="宋体" w:hAnsi="宋体"/>
          <w:color w:val="auto"/>
          <w:sz w:val="24"/>
          <w:szCs w:val="24"/>
        </w:rPr>
        <w:t>供应商在递交保证金时，应在付款凭证备注栏中注明项目名称（项目名称：</w:t>
      </w:r>
      <w:r>
        <w:rPr>
          <w:rFonts w:hint="eastAsia" w:ascii="宋体" w:hAnsi="宋体" w:eastAsia="宋体" w:cs="Times New Roman"/>
          <w:color w:val="auto"/>
          <w:kern w:val="2"/>
          <w:sz w:val="24"/>
          <w:szCs w:val="24"/>
          <w:lang w:val="en-US" w:eastAsia="zh-CN" w:bidi="ar-SA"/>
        </w:rPr>
        <w:t>透</w:t>
      </w:r>
      <w:r>
        <w:rPr>
          <w:rFonts w:hint="eastAsia" w:ascii="宋体" w:hAnsi="宋体" w:eastAsia="宋体" w:cs="Times New Roman"/>
          <w:color w:val="auto"/>
          <w:sz w:val="24"/>
          <w:szCs w:val="24"/>
          <w:u w:val="single"/>
          <w:lang w:val="en-US" w:eastAsia="zh-CN"/>
        </w:rPr>
        <w:t>析患者院后管理交互智能平台</w:t>
      </w:r>
      <w:r>
        <w:rPr>
          <w:rFonts w:hint="eastAsia" w:ascii="宋体" w:hAnsi="宋体" w:eastAsia="宋体" w:cs="Times New Roman"/>
          <w:color w:val="auto"/>
          <w:sz w:val="24"/>
          <w:szCs w:val="24"/>
          <w:u w:val="none"/>
          <w:lang w:val="en-US" w:eastAsia="zh-CN"/>
        </w:rPr>
        <w:t>，</w:t>
      </w:r>
      <w:r>
        <w:rPr>
          <w:rFonts w:hint="eastAsia" w:ascii="宋体" w:hAnsi="宋体"/>
          <w:color w:val="auto"/>
          <w:sz w:val="24"/>
          <w:szCs w:val="24"/>
          <w:lang w:val="en-US" w:eastAsia="zh-CN"/>
        </w:rPr>
        <w:t>可简称为</w:t>
      </w:r>
      <w:r>
        <w:rPr>
          <w:rFonts w:hint="eastAsia" w:ascii="宋体" w:hAnsi="宋体"/>
          <w:color w:val="auto"/>
          <w:sz w:val="24"/>
          <w:szCs w:val="24"/>
          <w:u w:val="single"/>
          <w:lang w:val="en-US" w:eastAsia="zh-CN"/>
        </w:rPr>
        <w:t>“</w:t>
      </w:r>
      <w:r>
        <w:rPr>
          <w:rFonts w:hint="eastAsia" w:ascii="宋体" w:hAnsi="宋体" w:cs="Times New Roman"/>
          <w:color w:val="auto"/>
          <w:sz w:val="24"/>
          <w:szCs w:val="24"/>
          <w:u w:val="single"/>
          <w:lang w:val="en-US" w:eastAsia="zh-CN"/>
        </w:rPr>
        <w:t>透析患者管理平台</w:t>
      </w:r>
      <w:r>
        <w:rPr>
          <w:rFonts w:hint="eastAsia" w:ascii="宋体" w:hAnsi="宋体" w:eastAsia="宋体" w:cs="Times New Roman"/>
          <w:color w:val="auto"/>
          <w:sz w:val="24"/>
          <w:szCs w:val="24"/>
          <w:u w:val="single"/>
          <w:lang w:val="en-US" w:eastAsia="zh-CN"/>
        </w:rPr>
        <w:t>”</w:t>
      </w:r>
      <w:r>
        <w:rPr>
          <w:rFonts w:hint="eastAsia" w:ascii="宋体" w:hAnsi="宋体"/>
          <w:color w:val="auto"/>
          <w:sz w:val="24"/>
          <w:szCs w:val="24"/>
        </w:rPr>
        <w:t>），</w:t>
      </w:r>
      <w:r>
        <w:rPr>
          <w:rFonts w:hint="eastAsia" w:ascii="宋体" w:hAnsi="宋体"/>
          <w:b/>
          <w:bCs/>
          <w:color w:val="auto"/>
          <w:sz w:val="24"/>
          <w:szCs w:val="24"/>
        </w:rPr>
        <w:t>到款账户为上述指定的保证金专用账户，</w:t>
      </w:r>
      <w:r>
        <w:rPr>
          <w:rFonts w:hint="eastAsia" w:ascii="宋体" w:hAnsi="宋体"/>
          <w:color w:val="auto"/>
          <w:sz w:val="24"/>
          <w:szCs w:val="24"/>
        </w:rPr>
        <w:t>来款账户必须与参与磋商的供应商名称一致。</w:t>
      </w:r>
    </w:p>
    <w:p>
      <w:pPr>
        <w:numPr>
          <w:ilvl w:val="0"/>
          <w:numId w:val="17"/>
        </w:num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参与磋商的供应商在银行转账（电汇）时，须充分考虑银行转账（电汇）的时间差风险，如同城转账、异地转账或汇款、跨行转账或电汇的时间要求。如因时间差等原因导致在磋商保证金到账截止时间内，无法查实磋商保证金是否到账的，将视为无效投标，该后果由供应商自行承担。（供应商参与磋商时应手持磋商保证金付款凭证以备查验）</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4、如本次采购终止，在本次磋商中缴纳保证金的供应商，若参加本项目下一次采购需要重新缴纳保证金，本次的磋商保证金会按照相关程序进行退还。</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5、保证金退还方式</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（1）未成交供应商的保证金，在成交通知书发放后，采购人在五个工作日内按来款渠道直接退还。</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（2）成交供应商的保证金，在成交供应商与采购人签订合同后，采购人在五个工作日内按资金来款渠道直接退还。</w:t>
      </w:r>
    </w:p>
    <w:p>
      <w:pPr>
        <w:snapToGrid w:val="0"/>
        <w:spacing w:line="276" w:lineRule="auto"/>
        <w:ind w:firstLine="480" w:firstLineChars="200"/>
        <w:rPr>
          <w:rFonts w:hint="eastAsia" w:ascii="宋体" w:hAnsi="宋体"/>
          <w:color w:val="auto"/>
        </w:rPr>
      </w:pPr>
      <w:r>
        <w:rPr>
          <w:rFonts w:hint="eastAsia" w:ascii="宋体" w:hAnsi="宋体"/>
          <w:color w:val="auto"/>
          <w:sz w:val="24"/>
          <w:szCs w:val="24"/>
        </w:rPr>
        <w:t>6、保证金查询电话：023-68203422</w:t>
      </w:r>
    </w:p>
    <w:p>
      <w:pPr>
        <w:pStyle w:val="3"/>
        <w:spacing w:before="120" w:beforeLines="50" w:line="276" w:lineRule="auto"/>
        <w:ind w:firstLine="482" w:firstLineChars="200"/>
        <w:rPr>
          <w:rFonts w:hint="eastAsia"/>
          <w:b/>
          <w:color w:val="auto"/>
          <w:sz w:val="24"/>
        </w:rPr>
      </w:pPr>
      <w:bookmarkStart w:id="21" w:name="_Toc16321"/>
      <w:r>
        <w:rPr>
          <w:rFonts w:hint="eastAsia"/>
          <w:b/>
          <w:color w:val="auto"/>
          <w:sz w:val="24"/>
          <w:lang w:eastAsia="zh-CN"/>
        </w:rPr>
        <w:t>七</w:t>
      </w:r>
      <w:r>
        <w:rPr>
          <w:rFonts w:hint="eastAsia"/>
          <w:b/>
          <w:color w:val="auto"/>
          <w:sz w:val="24"/>
        </w:rPr>
        <w:t>、采购项目需落实的政府采购政策</w:t>
      </w:r>
      <w:bookmarkEnd w:id="21"/>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（一）《财政部 生态环境部关于印发环境标志产品政府采购品目清单的通知》（财库〔2019〕18号）和《财政部 发展改革委关于印发节能产品政府采购品目清单的通知》（财库〔2019〕19号）的规定，落实国家节能环保政策。</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（二）按照《财政部 工业和信息化部关于印发&lt;政府采购促进中小企业发展暂行办法&gt;的通知》（财库〔2011〕181号）的规定，落实促进中小企业发展政策。</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（三）按照《财政部、司法部关于政府采购支持监狱企业发展有关问题的通知》（财库〔2014〕68号）的规定，落实支持监狱企业发展政策。</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（四）按照《三部门联合发布关于促进残疾人就业政府采购政策的通知》（财库〔2017〕 141号）的规定，落实支持残疾人福利性单位发展政策。</w:t>
      </w:r>
    </w:p>
    <w:p>
      <w:pPr>
        <w:pStyle w:val="3"/>
        <w:spacing w:line="276" w:lineRule="auto"/>
        <w:ind w:firstLine="482" w:firstLineChars="200"/>
        <w:rPr>
          <w:rFonts w:hint="eastAsia"/>
          <w:b/>
          <w:color w:val="auto"/>
          <w:sz w:val="24"/>
        </w:rPr>
      </w:pPr>
      <w:bookmarkStart w:id="22" w:name="_Toc441065658"/>
      <w:bookmarkStart w:id="23" w:name="_Toc10082"/>
      <w:r>
        <w:rPr>
          <w:rFonts w:hint="eastAsia"/>
          <w:b/>
          <w:color w:val="auto"/>
          <w:sz w:val="24"/>
          <w:lang w:eastAsia="zh-CN"/>
        </w:rPr>
        <w:t>八</w:t>
      </w:r>
      <w:r>
        <w:rPr>
          <w:rFonts w:hint="eastAsia"/>
          <w:b/>
          <w:color w:val="auto"/>
          <w:sz w:val="24"/>
        </w:rPr>
        <w:t>、磋商有关规定</w:t>
      </w:r>
      <w:bookmarkEnd w:id="22"/>
      <w:bookmarkEnd w:id="23"/>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（一）单位负责人为同一人或者存在直接控股、管理关系的不同供应商，不得参加同一合同项（分包）下的采购活动。</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（二）为采购项目提供整体设计、规范编制或者项目管理、监理、检测等服务的供应商，不得再参加该采购项目的其他采购活动。</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（三）本项目的补遗文件（如果有）一律在重庆市第九人民医院官方网站（www.cq9yuan</w:t>
      </w:r>
      <w:r>
        <w:rPr>
          <w:rFonts w:hint="eastAsia" w:ascii="宋体" w:hAnsi="宋体"/>
          <w:color w:val="auto"/>
          <w:sz w:val="24"/>
          <w:szCs w:val="24"/>
          <w:lang w:val="en-US" w:eastAsia="zh-CN"/>
        </w:rPr>
        <w:t>.</w:t>
      </w:r>
      <w:r>
        <w:rPr>
          <w:rFonts w:hint="eastAsia" w:ascii="宋体" w:hAnsi="宋体"/>
          <w:color w:val="auto"/>
          <w:sz w:val="24"/>
          <w:szCs w:val="24"/>
        </w:rPr>
        <w:t>com）上发布，请各供应商注意下载；无论供应商下载与否，均视同供应商已知晓本项目补遗文件的内容。</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（五）供应商须满足以下三种要件，其响应文件才被接受：</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1、响应文件提交截止时间前按时签到；</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2、响应文件提交截止时间前完成了响应文件的递交；</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3、提交响应文件截止时间前缴纳（采购人收到款项时间为准）磋商保证金。</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（六）磋商费用：无论磋商结果如何，供应商参与本项目的所有费用均应由供应商自行承担。</w:t>
      </w:r>
    </w:p>
    <w:p>
      <w:pPr>
        <w:pStyle w:val="2"/>
        <w:spacing w:before="0" w:beforeLines="0" w:after="0" w:afterLines="0" w:line="276" w:lineRule="auto"/>
        <w:rPr>
          <w:rFonts w:hint="eastAsia" w:ascii="宋体" w:hAnsi="宋体" w:eastAsia="宋体"/>
          <w:color w:val="auto"/>
        </w:rPr>
      </w:pPr>
      <w:bookmarkStart w:id="24" w:name="_Toc441065660"/>
      <w:r>
        <w:rPr>
          <w:rFonts w:ascii="宋体" w:hAnsi="宋体" w:eastAsia="宋体"/>
          <w:color w:val="auto"/>
        </w:rPr>
        <w:br w:type="page"/>
      </w:r>
      <w:bookmarkStart w:id="25" w:name="_Toc21936"/>
      <w:r>
        <w:rPr>
          <w:rFonts w:hint="eastAsia" w:ascii="宋体" w:hAnsi="宋体" w:eastAsia="宋体"/>
          <w:color w:val="auto"/>
        </w:rPr>
        <w:t>第二篇 项目具体要求</w:t>
      </w:r>
      <w:bookmarkEnd w:id="24"/>
      <w:bookmarkEnd w:id="25"/>
      <w:bookmarkStart w:id="26" w:name="_Toc441065661"/>
    </w:p>
    <w:bookmarkEnd w:id="26"/>
    <w:p>
      <w:pPr>
        <w:pStyle w:val="221"/>
        <w:adjustRightInd w:val="0"/>
        <w:snapToGrid w:val="0"/>
        <w:spacing w:before="0" w:line="276" w:lineRule="auto"/>
        <w:ind w:firstLine="480" w:firstLineChars="200"/>
        <w:rPr>
          <w:rFonts w:hint="eastAsia" w:ascii="宋体" w:hAnsi="宋体" w:eastAsia="宋体"/>
          <w:color w:val="auto"/>
        </w:rPr>
      </w:pPr>
    </w:p>
    <w:p>
      <w:pPr>
        <w:pStyle w:val="3"/>
        <w:spacing w:line="276" w:lineRule="auto"/>
        <w:jc w:val="center"/>
        <w:rPr>
          <w:rFonts w:hint="eastAsia"/>
          <w:b/>
          <w:color w:val="auto"/>
          <w:sz w:val="32"/>
          <w:szCs w:val="22"/>
        </w:rPr>
      </w:pPr>
      <w:bookmarkStart w:id="27" w:name="_Toc613"/>
      <w:r>
        <w:rPr>
          <w:rFonts w:hint="eastAsia"/>
          <w:b/>
          <w:color w:val="auto"/>
          <w:sz w:val="32"/>
          <w:szCs w:val="22"/>
        </w:rPr>
        <w:t>第一部分 技术要求</w:t>
      </w:r>
      <w:bookmarkEnd w:id="27"/>
    </w:p>
    <w:p>
      <w:pPr>
        <w:pStyle w:val="25"/>
        <w:ind w:left="0" w:leftChars="0" w:firstLine="0" w:firstLineChars="0"/>
        <w:rPr>
          <w:rFonts w:hint="eastAsia" w:ascii="宋体" w:hAnsi="宋体" w:cs="宋体"/>
          <w:b/>
          <w:color w:val="auto"/>
          <w:kern w:val="44"/>
          <w:sz w:val="28"/>
          <w:szCs w:val="28"/>
        </w:rPr>
      </w:pPr>
    </w:p>
    <w:p>
      <w:pPr>
        <w:pStyle w:val="4"/>
        <w:spacing w:before="120" w:after="0" w:line="360" w:lineRule="auto"/>
        <w:jc w:val="left"/>
        <w:rPr>
          <w:rFonts w:hint="eastAsia" w:ascii="宋体" w:hAnsi="宋体"/>
          <w:sz w:val="28"/>
          <w:szCs w:val="28"/>
        </w:rPr>
      </w:pPr>
      <w:r>
        <w:rPr>
          <w:rFonts w:hint="eastAsia" w:ascii="宋体" w:hAnsi="宋体"/>
          <w:sz w:val="28"/>
          <w:szCs w:val="28"/>
        </w:rPr>
        <w:t>一、技术总说明及要求</w:t>
      </w:r>
    </w:p>
    <w:p>
      <w:pPr>
        <w:spacing w:line="360" w:lineRule="auto"/>
        <w:ind w:firstLine="480" w:firstLineChars="200"/>
        <w:rPr>
          <w:rFonts w:ascii="宋体" w:hAnsi="宋体"/>
          <w:sz w:val="24"/>
          <w:szCs w:val="24"/>
        </w:rPr>
      </w:pPr>
      <w:r>
        <w:rPr>
          <w:rFonts w:hint="eastAsia" w:ascii="宋体" w:hAnsi="宋体"/>
          <w:sz w:val="24"/>
          <w:szCs w:val="24"/>
        </w:rPr>
        <w:t>1、平台</w:t>
      </w:r>
      <w:r>
        <w:rPr>
          <w:rFonts w:ascii="宋体" w:hAnsi="宋体"/>
          <w:sz w:val="24"/>
          <w:szCs w:val="24"/>
        </w:rPr>
        <w:t>所采用java平台技</w:t>
      </w:r>
      <w:r>
        <w:rPr>
          <w:rFonts w:hint="eastAsia" w:ascii="宋体" w:hAnsi="宋体"/>
          <w:sz w:val="24"/>
          <w:szCs w:val="24"/>
        </w:rPr>
        <w:t>术</w:t>
      </w:r>
      <w:r>
        <w:rPr>
          <w:rFonts w:ascii="宋体" w:hAnsi="宋体"/>
          <w:sz w:val="24"/>
          <w:szCs w:val="24"/>
        </w:rPr>
        <w:t>，前端</w:t>
      </w:r>
      <w:r>
        <w:rPr>
          <w:rFonts w:hint="eastAsia" w:ascii="宋体" w:hAnsi="宋体"/>
          <w:sz w:val="24"/>
          <w:szCs w:val="24"/>
        </w:rPr>
        <w:t>应</w:t>
      </w:r>
      <w:r>
        <w:rPr>
          <w:rFonts w:ascii="宋体" w:hAnsi="宋体"/>
          <w:sz w:val="24"/>
          <w:szCs w:val="24"/>
        </w:rPr>
        <w:t>用采用HTML5相关技</w:t>
      </w:r>
      <w:r>
        <w:rPr>
          <w:rFonts w:hint="eastAsia" w:ascii="宋体" w:hAnsi="宋体"/>
          <w:sz w:val="24"/>
          <w:szCs w:val="24"/>
        </w:rPr>
        <w:t>术</w:t>
      </w:r>
      <w:r>
        <w:rPr>
          <w:rFonts w:ascii="宋体" w:hAnsi="宋体"/>
          <w:sz w:val="24"/>
          <w:szCs w:val="24"/>
        </w:rPr>
        <w:t>，手机</w:t>
      </w:r>
      <w:r>
        <w:rPr>
          <w:rFonts w:hint="eastAsia" w:ascii="宋体" w:hAnsi="宋体"/>
          <w:sz w:val="24"/>
          <w:szCs w:val="24"/>
        </w:rPr>
        <w:t>app</w:t>
      </w:r>
      <w:r>
        <w:rPr>
          <w:rFonts w:ascii="宋体" w:hAnsi="宋体"/>
          <w:sz w:val="24"/>
          <w:szCs w:val="24"/>
        </w:rPr>
        <w:t>支持</w:t>
      </w:r>
      <w:r>
        <w:rPr>
          <w:rFonts w:hint="eastAsia" w:ascii="宋体" w:hAnsi="宋体"/>
          <w:sz w:val="24"/>
          <w:szCs w:val="24"/>
        </w:rPr>
        <w:t>Android</w:t>
      </w:r>
      <w:r>
        <w:rPr>
          <w:rFonts w:ascii="宋体" w:hAnsi="宋体"/>
          <w:sz w:val="24"/>
          <w:szCs w:val="24"/>
        </w:rPr>
        <w:t>、</w:t>
      </w:r>
      <w:r>
        <w:rPr>
          <w:rFonts w:hint="eastAsia" w:ascii="宋体" w:hAnsi="宋体"/>
          <w:sz w:val="24"/>
          <w:szCs w:val="24"/>
        </w:rPr>
        <w:t>iOS</w:t>
      </w:r>
      <w:r>
        <w:rPr>
          <w:rFonts w:ascii="宋体" w:hAnsi="宋体"/>
          <w:sz w:val="24"/>
          <w:szCs w:val="24"/>
        </w:rPr>
        <w:t>操作系</w:t>
      </w:r>
      <w:r>
        <w:rPr>
          <w:rFonts w:hint="eastAsia" w:ascii="宋体" w:hAnsi="宋体"/>
          <w:sz w:val="24"/>
          <w:szCs w:val="24"/>
        </w:rPr>
        <w:t>统</w:t>
      </w:r>
      <w:r>
        <w:rPr>
          <w:rFonts w:ascii="宋体" w:hAnsi="宋体"/>
          <w:sz w:val="24"/>
          <w:szCs w:val="24"/>
        </w:rPr>
        <w:t>，服</w:t>
      </w:r>
      <w:r>
        <w:rPr>
          <w:rFonts w:hint="eastAsia" w:ascii="宋体" w:hAnsi="宋体"/>
          <w:sz w:val="24"/>
          <w:szCs w:val="24"/>
        </w:rPr>
        <w:t>务</w:t>
      </w:r>
      <w:r>
        <w:rPr>
          <w:rFonts w:ascii="宋体" w:hAnsi="宋体"/>
          <w:sz w:val="24"/>
          <w:szCs w:val="24"/>
        </w:rPr>
        <w:t>接口采用</w:t>
      </w:r>
      <w:r>
        <w:rPr>
          <w:rFonts w:hint="eastAsia" w:ascii="宋体" w:hAnsi="宋体"/>
          <w:sz w:val="24"/>
          <w:szCs w:val="24"/>
        </w:rPr>
        <w:t>API</w:t>
      </w:r>
      <w:r>
        <w:rPr>
          <w:rFonts w:ascii="宋体" w:hAnsi="宋体"/>
          <w:sz w:val="24"/>
          <w:szCs w:val="24"/>
        </w:rPr>
        <w:t>方式。</w:t>
      </w:r>
    </w:p>
    <w:p>
      <w:pPr>
        <w:spacing w:line="360" w:lineRule="auto"/>
        <w:ind w:firstLine="480" w:firstLineChars="200"/>
        <w:rPr>
          <w:rFonts w:ascii="宋体" w:hAnsi="宋体"/>
          <w:sz w:val="24"/>
          <w:szCs w:val="24"/>
        </w:rPr>
      </w:pPr>
      <w:r>
        <w:rPr>
          <w:rFonts w:hint="eastAsia" w:ascii="宋体" w:hAnsi="宋体"/>
          <w:sz w:val="24"/>
          <w:szCs w:val="24"/>
        </w:rPr>
        <w:t>2、系统支持集群部署，如应用服务器、文件服务器、数据库服务器、Web服务器，并且支持高并发事务处理，系统应具有较高可靠性与稳定性。</w:t>
      </w:r>
    </w:p>
    <w:p>
      <w:pPr>
        <w:spacing w:line="360" w:lineRule="auto"/>
        <w:ind w:firstLine="480" w:firstLineChars="200"/>
        <w:rPr>
          <w:rFonts w:ascii="宋体" w:hAnsi="宋体"/>
          <w:sz w:val="24"/>
          <w:szCs w:val="24"/>
        </w:rPr>
      </w:pPr>
      <w:r>
        <w:rPr>
          <w:rFonts w:hint="eastAsia" w:ascii="宋体" w:hAnsi="宋体"/>
          <w:sz w:val="24"/>
          <w:szCs w:val="24"/>
        </w:rPr>
        <w:t>3、</w:t>
      </w:r>
      <w:r>
        <w:rPr>
          <w:rFonts w:ascii="宋体" w:hAnsi="宋体"/>
          <w:sz w:val="24"/>
          <w:szCs w:val="24"/>
        </w:rPr>
        <w:t>本</w:t>
      </w:r>
      <w:r>
        <w:rPr>
          <w:rFonts w:hint="eastAsia" w:ascii="宋体" w:hAnsi="宋体"/>
          <w:sz w:val="24"/>
          <w:szCs w:val="24"/>
        </w:rPr>
        <w:t>项目建设</w:t>
      </w:r>
      <w:r>
        <w:rPr>
          <w:rFonts w:ascii="宋体" w:hAnsi="宋体"/>
          <w:sz w:val="24"/>
          <w:szCs w:val="24"/>
        </w:rPr>
        <w:t>需采用云</w:t>
      </w:r>
      <w:r>
        <w:rPr>
          <w:rFonts w:hint="eastAsia" w:ascii="宋体" w:hAnsi="宋体"/>
          <w:sz w:val="24"/>
          <w:szCs w:val="24"/>
        </w:rPr>
        <w:t>计算</w:t>
      </w:r>
      <w:r>
        <w:rPr>
          <w:rFonts w:ascii="宋体" w:hAnsi="宋体"/>
          <w:sz w:val="24"/>
          <w:szCs w:val="24"/>
        </w:rPr>
        <w:t>模式部署，提供可靠的服</w:t>
      </w:r>
      <w:r>
        <w:rPr>
          <w:rFonts w:hint="eastAsia" w:ascii="宋体" w:hAnsi="宋体"/>
          <w:sz w:val="24"/>
          <w:szCs w:val="24"/>
        </w:rPr>
        <w:t>务</w:t>
      </w:r>
      <w:r>
        <w:rPr>
          <w:rFonts w:ascii="宋体" w:hAnsi="宋体"/>
          <w:sz w:val="24"/>
          <w:szCs w:val="24"/>
        </w:rPr>
        <w:t>器架构方案，可</w:t>
      </w:r>
      <w:r>
        <w:rPr>
          <w:rFonts w:hint="eastAsia" w:ascii="宋体" w:hAnsi="宋体"/>
          <w:sz w:val="24"/>
          <w:szCs w:val="24"/>
        </w:rPr>
        <w:t>实现</w:t>
      </w:r>
      <w:r>
        <w:rPr>
          <w:rFonts w:ascii="宋体" w:hAnsi="宋体"/>
          <w:sz w:val="24"/>
          <w:szCs w:val="24"/>
        </w:rPr>
        <w:t>服</w:t>
      </w:r>
      <w:r>
        <w:rPr>
          <w:rFonts w:hint="eastAsia" w:ascii="宋体" w:hAnsi="宋体"/>
          <w:sz w:val="24"/>
          <w:szCs w:val="24"/>
        </w:rPr>
        <w:t>务</w:t>
      </w:r>
      <w:r>
        <w:rPr>
          <w:rFonts w:ascii="宋体" w:hAnsi="宋体"/>
          <w:sz w:val="24"/>
          <w:szCs w:val="24"/>
        </w:rPr>
        <w:t>器系</w:t>
      </w:r>
      <w:r>
        <w:rPr>
          <w:rFonts w:hint="eastAsia" w:ascii="宋体" w:hAnsi="宋体"/>
          <w:sz w:val="24"/>
          <w:szCs w:val="24"/>
        </w:rPr>
        <w:t>统</w:t>
      </w:r>
      <w:r>
        <w:rPr>
          <w:rFonts w:ascii="宋体" w:hAnsi="宋体"/>
          <w:sz w:val="24"/>
          <w:szCs w:val="24"/>
        </w:rPr>
        <w:t>、数据</w:t>
      </w:r>
      <w:r>
        <w:rPr>
          <w:rFonts w:hint="eastAsia" w:ascii="宋体" w:hAnsi="宋体"/>
          <w:sz w:val="24"/>
          <w:szCs w:val="24"/>
        </w:rPr>
        <w:t>库</w:t>
      </w:r>
      <w:r>
        <w:rPr>
          <w:rFonts w:ascii="宋体" w:hAnsi="宋体"/>
          <w:sz w:val="24"/>
          <w:szCs w:val="24"/>
        </w:rPr>
        <w:t>的安全冗余、</w:t>
      </w:r>
      <w:r>
        <w:rPr>
          <w:rFonts w:hint="eastAsia" w:ascii="宋体" w:hAnsi="宋体"/>
          <w:sz w:val="24"/>
          <w:szCs w:val="24"/>
        </w:rPr>
        <w:t>备</w:t>
      </w:r>
      <w:r>
        <w:rPr>
          <w:rFonts w:ascii="宋体" w:hAnsi="宋体"/>
          <w:sz w:val="24"/>
          <w:szCs w:val="24"/>
        </w:rPr>
        <w:t>份。</w:t>
      </w:r>
    </w:p>
    <w:p>
      <w:pPr>
        <w:spacing w:line="360" w:lineRule="auto"/>
        <w:ind w:firstLine="480" w:firstLineChars="200"/>
        <w:rPr>
          <w:rFonts w:ascii="宋体" w:hAnsi="宋体"/>
          <w:sz w:val="24"/>
          <w:szCs w:val="24"/>
        </w:rPr>
      </w:pPr>
      <w:r>
        <w:rPr>
          <w:rFonts w:hint="eastAsia" w:ascii="宋体" w:hAnsi="宋体"/>
          <w:sz w:val="24"/>
          <w:szCs w:val="24"/>
        </w:rPr>
        <w:t>4、本项目要求具备完善的安全机制，保护居民个人隐私，保障整个平台的信息安全。</w:t>
      </w:r>
    </w:p>
    <w:p>
      <w:pPr>
        <w:spacing w:line="360" w:lineRule="auto"/>
        <w:ind w:firstLine="480" w:firstLineChars="200"/>
        <w:rPr>
          <w:rFonts w:ascii="宋体" w:hAnsi="宋体"/>
          <w:sz w:val="24"/>
          <w:szCs w:val="24"/>
        </w:rPr>
      </w:pPr>
      <w:r>
        <w:rPr>
          <w:rFonts w:hint="eastAsia" w:ascii="宋体" w:hAnsi="宋体"/>
          <w:sz w:val="24"/>
          <w:szCs w:val="24"/>
        </w:rPr>
        <w:t>5、本项目应该具有友好的人机界面，用户能方便操作和管理。</w:t>
      </w:r>
    </w:p>
    <w:p>
      <w:pPr>
        <w:spacing w:line="360" w:lineRule="auto"/>
        <w:ind w:firstLine="480" w:firstLineChars="200"/>
        <w:rPr>
          <w:rFonts w:hint="eastAsia" w:ascii="宋体" w:hAnsi="宋体"/>
          <w:sz w:val="24"/>
          <w:szCs w:val="24"/>
        </w:rPr>
      </w:pPr>
      <w:r>
        <w:rPr>
          <w:rFonts w:hint="eastAsia" w:ascii="宋体" w:hAnsi="宋体"/>
          <w:sz w:val="24"/>
          <w:szCs w:val="24"/>
        </w:rPr>
        <w:t>6、</w:t>
      </w:r>
      <w:r>
        <w:rPr>
          <w:rFonts w:ascii="宋体" w:hAnsi="宋体"/>
          <w:sz w:val="24"/>
          <w:szCs w:val="24"/>
        </w:rPr>
        <w:t>平台具</w:t>
      </w:r>
      <w:r>
        <w:rPr>
          <w:rFonts w:hint="eastAsia" w:ascii="宋体" w:hAnsi="宋体"/>
          <w:sz w:val="24"/>
          <w:szCs w:val="24"/>
        </w:rPr>
        <w:t>备IOT设备管理能力，能无缝对接物联网及智能可穿戴设备，具备多元化的患者服务提供能力</w:t>
      </w:r>
      <w:r>
        <w:rPr>
          <w:rFonts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7、投标人在投标前必须踏勘现场、充分了解需求，无论是否踏勘现场，采购人都认为投标人已经踏勘过现场且已经掌握了全部需求。</w:t>
      </w:r>
    </w:p>
    <w:p>
      <w:pPr>
        <w:spacing w:line="360" w:lineRule="auto"/>
        <w:ind w:firstLine="480" w:firstLineChars="200"/>
        <w:rPr>
          <w:rFonts w:hint="eastAsia" w:ascii="宋体" w:hAnsi="宋体"/>
          <w:sz w:val="24"/>
          <w:szCs w:val="24"/>
        </w:rPr>
      </w:pPr>
      <w:r>
        <w:rPr>
          <w:rFonts w:hint="eastAsia" w:ascii="宋体" w:hAnsi="宋体"/>
          <w:sz w:val="24"/>
          <w:szCs w:val="24"/>
        </w:rPr>
        <w:t>8、投标人配备为实现本项目的全部软件（包括与HIS的接口）、硬件（如服务器），采购人仅提供采购人单位内部局域网络。</w:t>
      </w:r>
    </w:p>
    <w:p>
      <w:pPr>
        <w:numPr>
          <w:ilvl w:val="0"/>
          <w:numId w:val="0"/>
        </w:numPr>
        <w:rPr>
          <w:rFonts w:hint="eastAsia"/>
          <w:color w:val="auto"/>
        </w:rPr>
      </w:pPr>
    </w:p>
    <w:p>
      <w:pPr>
        <w:pStyle w:val="4"/>
        <w:numPr>
          <w:ilvl w:val="0"/>
          <w:numId w:val="18"/>
        </w:numPr>
        <w:spacing w:before="120" w:after="0" w:line="360" w:lineRule="auto"/>
        <w:jc w:val="left"/>
        <w:rPr>
          <w:rFonts w:hint="eastAsia" w:ascii="宋体" w:hAnsi="宋体"/>
          <w:color w:val="auto"/>
          <w:sz w:val="28"/>
          <w:szCs w:val="28"/>
        </w:rPr>
      </w:pPr>
      <w:r>
        <w:rPr>
          <w:rFonts w:hint="eastAsia" w:ascii="宋体" w:hAnsi="宋体"/>
          <w:color w:val="auto"/>
          <w:sz w:val="28"/>
          <w:szCs w:val="28"/>
        </w:rPr>
        <w:t>主要功能参数及要求</w:t>
      </w:r>
    </w:p>
    <w:tbl>
      <w:tblPr>
        <w:tblStyle w:val="58"/>
        <w:tblpPr w:leftFromText="180" w:rightFromText="180" w:vertAnchor="text" w:horzAnchor="page" w:tblpX="1651" w:tblpY="1289"/>
        <w:tblOverlap w:val="never"/>
        <w:tblW w:w="9199" w:type="dxa"/>
        <w:tblInd w:w="0" w:type="dxa"/>
        <w:tblLayout w:type="fixed"/>
        <w:tblCellMar>
          <w:top w:w="0" w:type="dxa"/>
          <w:left w:w="108" w:type="dxa"/>
          <w:bottom w:w="0" w:type="dxa"/>
          <w:right w:w="108" w:type="dxa"/>
        </w:tblCellMar>
      </w:tblPr>
      <w:tblGrid>
        <w:gridCol w:w="773"/>
        <w:gridCol w:w="992"/>
        <w:gridCol w:w="3471"/>
        <w:gridCol w:w="3963"/>
      </w:tblGrid>
      <w:tr>
        <w:tblPrEx>
          <w:tblCellMar>
            <w:top w:w="0" w:type="dxa"/>
            <w:left w:w="108" w:type="dxa"/>
            <w:bottom w:w="0" w:type="dxa"/>
            <w:right w:w="108" w:type="dxa"/>
          </w:tblCellMar>
        </w:tblPrEx>
        <w:trPr>
          <w:trHeight w:val="676" w:hRule="atLeast"/>
        </w:trPr>
        <w:tc>
          <w:tcPr>
            <w:tcW w:w="773"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序号</w:t>
            </w:r>
          </w:p>
        </w:tc>
        <w:tc>
          <w:tcPr>
            <w:tcW w:w="992" w:type="dxa"/>
            <w:tcBorders>
              <w:top w:val="single" w:color="000000" w:sz="4" w:space="0"/>
              <w:left w:val="single" w:color="000000" w:sz="4" w:space="0"/>
              <w:bottom w:val="single" w:color="000000" w:sz="4" w:space="0"/>
              <w:right w:val="single" w:color="000000" w:sz="4" w:space="0"/>
            </w:tcBorders>
            <w:shd w:val="clear" w:color="auto" w:fill="5B9BD5"/>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系统名称</w:t>
            </w:r>
          </w:p>
        </w:tc>
        <w:tc>
          <w:tcPr>
            <w:tcW w:w="3471"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主要功能说明</w:t>
            </w:r>
          </w:p>
        </w:tc>
        <w:tc>
          <w:tcPr>
            <w:tcW w:w="3963" w:type="dxa"/>
            <w:tcBorders>
              <w:top w:val="single" w:color="000000" w:sz="4" w:space="0"/>
              <w:left w:val="single" w:color="000000" w:sz="4" w:space="0"/>
              <w:bottom w:val="single" w:color="000000" w:sz="4" w:space="0"/>
              <w:right w:val="single" w:color="000000" w:sz="4" w:space="0"/>
            </w:tcBorders>
            <w:shd w:val="clear" w:color="auto" w:fill="5B9BD5"/>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备注</w:t>
            </w:r>
          </w:p>
        </w:tc>
      </w:tr>
      <w:tr>
        <w:tblPrEx>
          <w:tblCellMar>
            <w:top w:w="0" w:type="dxa"/>
            <w:left w:w="108" w:type="dxa"/>
            <w:bottom w:w="0" w:type="dxa"/>
            <w:right w:w="108" w:type="dxa"/>
          </w:tblCellMar>
        </w:tblPrEx>
        <w:trPr>
          <w:trHeight w:val="580" w:hRule="atLeast"/>
        </w:trPr>
        <w:tc>
          <w:tcPr>
            <w:tcW w:w="77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rPr>
              <w:t>1</w:t>
            </w:r>
          </w:p>
        </w:tc>
        <w:tc>
          <w:tcPr>
            <w:tcW w:w="4463" w:type="dxa"/>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jc w:val="left"/>
              <w:textAlignment w:val="center"/>
              <w:rPr>
                <w:rFonts w:ascii="宋体" w:hAnsi="宋体" w:eastAsia="宋体" w:cs="宋体"/>
                <w:b/>
                <w:bCs/>
                <w:color w:val="auto"/>
                <w:sz w:val="24"/>
              </w:rPr>
            </w:pPr>
            <w:r>
              <w:rPr>
                <w:rFonts w:hint="eastAsia" w:ascii="宋体" w:hAnsi="宋体" w:eastAsia="宋体" w:cs="宋体"/>
                <w:b/>
                <w:bCs/>
                <w:color w:val="auto"/>
                <w:kern w:val="0"/>
                <w:sz w:val="24"/>
              </w:rPr>
              <w:t>专病管理系统</w:t>
            </w:r>
          </w:p>
        </w:tc>
        <w:tc>
          <w:tcPr>
            <w:tcW w:w="3963" w:type="dxa"/>
            <w:tcBorders>
              <w:top w:val="single" w:color="000000" w:sz="4" w:space="0"/>
              <w:left w:val="single" w:color="000000" w:sz="4" w:space="0"/>
              <w:bottom w:val="single" w:color="000000" w:sz="4" w:space="0"/>
              <w:right w:val="single" w:color="000000" w:sz="4" w:space="0"/>
            </w:tcBorders>
            <w:shd w:val="clear" w:color="auto" w:fill="E7E6E6"/>
            <w:vAlign w:val="center"/>
          </w:tcPr>
          <w:p>
            <w:pPr>
              <w:rPr>
                <w:rFonts w:ascii="宋体" w:hAnsi="宋体" w:eastAsia="宋体" w:cs="宋体"/>
                <w:b/>
                <w:bCs/>
                <w:color w:val="auto"/>
                <w:sz w:val="24"/>
              </w:rPr>
            </w:pPr>
          </w:p>
        </w:tc>
      </w:tr>
      <w:tr>
        <w:tblPrEx>
          <w:tblCellMar>
            <w:top w:w="0" w:type="dxa"/>
            <w:left w:w="108" w:type="dxa"/>
            <w:bottom w:w="0" w:type="dxa"/>
            <w:right w:w="108" w:type="dxa"/>
          </w:tblCellMar>
        </w:tblPrEx>
        <w:trPr>
          <w:trHeight w:val="1200" w:hRule="atLeast"/>
        </w:trPr>
        <w:tc>
          <w:tcPr>
            <w:tcW w:w="773"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1.1</w:t>
            </w:r>
          </w:p>
        </w:tc>
        <w:tc>
          <w:tcPr>
            <w:tcW w:w="992"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专病人群管理</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支持定义专病人群属性，包括：基本信息、管理属性、人群属性、人群相关评估问卷、人群重点指标等。</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肾透析人群组</w:t>
            </w:r>
          </w:p>
        </w:tc>
      </w:tr>
      <w:tr>
        <w:tblPrEx>
          <w:tblCellMar>
            <w:top w:w="0" w:type="dxa"/>
            <w:left w:w="108" w:type="dxa"/>
            <w:bottom w:w="0" w:type="dxa"/>
            <w:right w:w="108" w:type="dxa"/>
          </w:tblCellMar>
        </w:tblPrEx>
        <w:trPr>
          <w:trHeight w:val="491" w:hRule="atLeast"/>
        </w:trPr>
        <w:tc>
          <w:tcPr>
            <w:tcW w:w="773"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val="0"/>
                <w:bCs w:val="0"/>
                <w:color w:val="auto"/>
                <w:kern w:val="0"/>
                <w:sz w:val="24"/>
              </w:rPr>
            </w:pPr>
          </w:p>
        </w:tc>
        <w:tc>
          <w:tcPr>
            <w:tcW w:w="992" w:type="dxa"/>
            <w:vMerge w:val="continue"/>
            <w:tcBorders>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kern w:val="0"/>
                <w:sz w:val="24"/>
              </w:rPr>
            </w:pPr>
          </w:p>
        </w:tc>
        <w:tc>
          <w:tcPr>
            <w:tcW w:w="347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对患者</w:t>
            </w:r>
            <w:r>
              <w:rPr>
                <w:rStyle w:val="224"/>
                <w:rFonts w:hint="default"/>
                <w:b w:val="0"/>
                <w:bCs w:val="0"/>
                <w:color w:val="auto"/>
                <w:sz w:val="24"/>
                <w:szCs w:val="24"/>
              </w:rPr>
              <w:t>进行手动标签分等级管理。如是否有高血压、是否有糖尿病、是否有高脂血症、是否已有颈动脉粥样硬化斑块等条件判断患者血管等级。</w:t>
            </w:r>
          </w:p>
        </w:tc>
        <w:tc>
          <w:tcPr>
            <w:tcW w:w="39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肾透析人群组，血管风险等级知识一个标签</w:t>
            </w:r>
          </w:p>
        </w:tc>
      </w:tr>
      <w:tr>
        <w:tblPrEx>
          <w:tblCellMar>
            <w:top w:w="0" w:type="dxa"/>
            <w:left w:w="108" w:type="dxa"/>
            <w:bottom w:w="0" w:type="dxa"/>
            <w:right w:w="108" w:type="dxa"/>
          </w:tblCellMar>
        </w:tblPrEx>
        <w:trPr>
          <w:trHeight w:val="1200" w:hRule="atLeast"/>
        </w:trPr>
        <w:tc>
          <w:tcPr>
            <w:tcW w:w="773" w:type="dxa"/>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1.2</w:t>
            </w:r>
          </w:p>
        </w:tc>
        <w:tc>
          <w:tcPr>
            <w:tcW w:w="992" w:type="dxa"/>
            <w:tcBorders>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专病档案管理</w:t>
            </w:r>
          </w:p>
        </w:tc>
        <w:tc>
          <w:tcPr>
            <w:tcW w:w="3471"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支持为专病患者建立个人健康专案，管理和维护患者基本信息、家庭信息、病史信息、专案信息、门诊详情、就诊记录、随访记录、宣教记录等。</w:t>
            </w:r>
          </w:p>
        </w:tc>
        <w:tc>
          <w:tcPr>
            <w:tcW w:w="39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cs="MS Mincho"/>
                <w:sz w:val="24"/>
                <w:szCs w:val="24"/>
              </w:rPr>
              <w:t>★</w:t>
            </w:r>
            <w:r>
              <w:rPr>
                <w:rFonts w:hint="eastAsia" w:ascii="宋体" w:hAnsi="宋体" w:eastAsia="宋体" w:cs="宋体"/>
                <w:b w:val="0"/>
                <w:bCs w:val="0"/>
                <w:color w:val="auto"/>
                <w:kern w:val="0"/>
                <w:sz w:val="24"/>
              </w:rPr>
              <w:t>1、包含的档案信息有：</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1）个人信息</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2）生化检查结果(折线图呈现)</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3）处方信息：透析用药，口服用药(折线图)</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4）心脏彩超(关键指标折线图)</w:t>
            </w:r>
            <w:r>
              <w:rPr>
                <w:rFonts w:hint="eastAsia" w:ascii="宋体" w:hAnsi="宋体" w:eastAsia="宋体" w:cs="宋体"/>
                <w:b w:val="0"/>
                <w:bCs w:val="0"/>
                <w:color w:val="auto"/>
                <w:kern w:val="0"/>
                <w:sz w:val="24"/>
              </w:rPr>
              <w:br w:type="textWrapping"/>
            </w:r>
            <w:r>
              <w:rPr>
                <w:rFonts w:hint="eastAsia" w:ascii="宋体" w:hAnsi="宋体" w:cs="宋体"/>
                <w:b w:val="0"/>
                <w:bCs w:val="0"/>
                <w:color w:val="auto"/>
                <w:kern w:val="0"/>
                <w:sz w:val="24"/>
                <w:lang w:val="en-US" w:eastAsia="zh-CN"/>
              </w:rPr>
              <w:t>5</w:t>
            </w:r>
            <w:r>
              <w:rPr>
                <w:rFonts w:hint="eastAsia" w:ascii="宋体" w:hAnsi="宋体" w:eastAsia="宋体" w:cs="宋体"/>
                <w:b w:val="0"/>
                <w:bCs w:val="0"/>
                <w:color w:val="auto"/>
                <w:kern w:val="0"/>
                <w:sz w:val="24"/>
              </w:rPr>
              <w:t>）透析机（郎腾数据抓取）：透析前血压， 透析间期体重增加值，静脉压，血流量,透析期间血压变化、干体重(关键指标折线图)</w:t>
            </w:r>
          </w:p>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lang w:val="en-US" w:eastAsia="zh-CN"/>
              </w:rPr>
              <w:t>6</w:t>
            </w:r>
            <w:r>
              <w:rPr>
                <w:rFonts w:hint="eastAsia" w:ascii="宋体" w:hAnsi="宋体" w:eastAsia="宋体" w:cs="宋体"/>
                <w:b w:val="0"/>
                <w:bCs w:val="0"/>
                <w:color w:val="auto"/>
                <w:kern w:val="0"/>
                <w:sz w:val="24"/>
              </w:rPr>
              <w:t>）患者首页显示的重要的基本信息，包含诊断、用药信息、肾透析方式等等。便于查看管理。</w:t>
            </w:r>
          </w:p>
        </w:tc>
      </w:tr>
      <w:tr>
        <w:tblPrEx>
          <w:tblCellMar>
            <w:top w:w="0" w:type="dxa"/>
            <w:left w:w="108" w:type="dxa"/>
            <w:bottom w:w="0" w:type="dxa"/>
            <w:right w:w="108" w:type="dxa"/>
          </w:tblCellMar>
        </w:tblPrEx>
        <w:trPr>
          <w:trHeight w:val="1125" w:hRule="atLeast"/>
        </w:trPr>
        <w:tc>
          <w:tcPr>
            <w:tcW w:w="773" w:type="dxa"/>
            <w:tcBorders>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1.3</w:t>
            </w:r>
          </w:p>
        </w:tc>
        <w:tc>
          <w:tcPr>
            <w:tcW w:w="992"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专病个案首页 血管通路管理</w:t>
            </w:r>
          </w:p>
        </w:tc>
        <w:tc>
          <w:tcPr>
            <w:tcW w:w="34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ab/>
            </w:r>
            <w:r>
              <w:rPr>
                <w:rFonts w:hint="eastAsia" w:ascii="宋体" w:hAnsi="宋体" w:eastAsia="宋体" w:cs="宋体"/>
                <w:b w:val="0"/>
                <w:bCs w:val="0"/>
                <w:color w:val="auto"/>
                <w:kern w:val="0"/>
                <w:sz w:val="24"/>
              </w:rPr>
              <w:t>★定制化开发肾透析患者（血管通路）个案首页</w:t>
            </w:r>
          </w:p>
        </w:tc>
        <w:tc>
          <w:tcPr>
            <w:tcW w:w="39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1呈现患者全身血管通路图形（可用作肾透析用血管通路）（未用过用蓝色呈现，正在使用用红色呈现，已经用过但线并未使用用粉色呈现）</w:t>
            </w:r>
          </w:p>
          <w:p>
            <w:pPr>
              <w:widowControl/>
              <w:jc w:val="left"/>
              <w:textAlignment w:val="center"/>
              <w:rPr>
                <w:rFonts w:hint="eastAsia" w:ascii="宋体" w:hAnsi="宋体" w:eastAsia="宋体" w:cs="宋体"/>
                <w:b w:val="0"/>
                <w:bCs w:val="0"/>
                <w:color w:val="auto"/>
                <w:kern w:val="0"/>
                <w:sz w:val="24"/>
              </w:rPr>
            </w:pPr>
            <w:r>
              <w:rPr>
                <w:rFonts w:hint="eastAsia" w:ascii="宋体" w:hAnsi="宋体" w:eastAsia="宋体" w:cs="宋体"/>
                <w:b w:val="0"/>
                <w:bCs w:val="0"/>
                <w:color w:val="auto"/>
                <w:kern w:val="0"/>
                <w:sz w:val="24"/>
              </w:rPr>
              <w:t>2每一块图形（即每一个血管通路） 点进去有相应的血管b超记录、血流量记录、静脉压记录（用曲线图呈现，）（b超记录以关键时间节点为小点，点进去呈现关键词和数据，待商量讨论），同时血管通路穿刺规划图也保留在这个子模块。</w:t>
            </w:r>
          </w:p>
          <w:p>
            <w:pPr>
              <w:widowControl/>
              <w:jc w:val="left"/>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3、功能要求：自动在中联系统中抓取、医生也可以后台输入；病人在外院b超结果单可以拍照抓取关键次后自动录入</w:t>
            </w:r>
          </w:p>
        </w:tc>
      </w:tr>
      <w:tr>
        <w:tblPrEx>
          <w:tblCellMar>
            <w:top w:w="0" w:type="dxa"/>
            <w:left w:w="108" w:type="dxa"/>
            <w:bottom w:w="0" w:type="dxa"/>
            <w:right w:w="108" w:type="dxa"/>
          </w:tblCellMar>
        </w:tblPrEx>
        <w:trPr>
          <w:trHeight w:val="756"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1.4</w:t>
            </w:r>
          </w:p>
          <w:p>
            <w:pPr>
              <w:widowControl/>
              <w:jc w:val="center"/>
              <w:textAlignment w:val="center"/>
              <w:rPr>
                <w:rFonts w:ascii="宋体" w:hAnsi="宋体" w:eastAsia="宋体" w:cs="宋体"/>
                <w:b w:val="0"/>
                <w:bCs w:val="0"/>
                <w:color w:val="auto"/>
                <w:sz w:val="24"/>
              </w:rPr>
            </w:pPr>
          </w:p>
        </w:tc>
        <w:tc>
          <w:tcPr>
            <w:tcW w:w="992"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专病路径管理</w:t>
            </w:r>
          </w:p>
        </w:tc>
        <w:tc>
          <w:tcPr>
            <w:tcW w:w="3471" w:type="dxa"/>
            <w:tcBorders>
              <w:top w:val="single" w:color="auto"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1）支持专病管理人群设置管理路径，以路径管理的方式快速下达专病管理方案，支持跨越多个入出院周期的连续管理；</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2）支持自定义疾病管理路径。</w:t>
            </w:r>
          </w:p>
        </w:tc>
        <w:tc>
          <w:tcPr>
            <w:tcW w:w="396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根据患者的原发病诊断、血管通路类型，自我管理程度为患者制定约6*4*3的临床路径</w:t>
            </w:r>
          </w:p>
        </w:tc>
      </w:tr>
      <w:tr>
        <w:tblPrEx>
          <w:tblCellMar>
            <w:top w:w="0" w:type="dxa"/>
            <w:left w:w="108" w:type="dxa"/>
            <w:bottom w:w="0" w:type="dxa"/>
            <w:right w:w="108" w:type="dxa"/>
          </w:tblCellMar>
        </w:tblPrEx>
        <w:trPr>
          <w:trHeight w:val="756" w:hRule="atLeast"/>
        </w:trPr>
        <w:tc>
          <w:tcPr>
            <w:tcW w:w="773"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1.5</w:t>
            </w:r>
          </w:p>
          <w:p>
            <w:pPr>
              <w:widowControl/>
              <w:jc w:val="center"/>
              <w:textAlignment w:val="center"/>
              <w:rPr>
                <w:rFonts w:ascii="宋体" w:hAnsi="宋体" w:eastAsia="宋体" w:cs="宋体"/>
                <w:b w:val="0"/>
                <w:bCs w:val="0"/>
                <w:color w:val="auto"/>
                <w:kern w:val="0"/>
                <w:sz w:val="24"/>
              </w:rPr>
            </w:pPr>
          </w:p>
        </w:tc>
        <w:tc>
          <w:tcPr>
            <w:tcW w:w="992" w:type="dxa"/>
            <w:vMerge w:val="restart"/>
            <w:tcBorders>
              <w:top w:val="single" w:color="000000" w:sz="4" w:space="0"/>
              <w:left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kern w:val="0"/>
                <w:sz w:val="24"/>
              </w:rPr>
            </w:pPr>
            <w:r>
              <w:rPr>
                <w:rFonts w:hint="eastAsia" w:ascii="宋体" w:hAnsi="宋体" w:eastAsia="宋体" w:cs="宋体"/>
                <w:b w:val="0"/>
                <w:bCs w:val="0"/>
                <w:color w:val="auto"/>
                <w:kern w:val="0"/>
                <w:sz w:val="24"/>
              </w:rPr>
              <w:t>交互功能</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val="0"/>
                <w:color w:val="auto"/>
                <w:kern w:val="0"/>
                <w:sz w:val="24"/>
                <w:u w:val="none"/>
              </w:rPr>
            </w:pPr>
            <w:r>
              <w:rPr>
                <w:rFonts w:hint="eastAsia" w:ascii="宋体" w:hAnsi="宋体" w:eastAsia="宋体" w:cs="宋体"/>
                <w:b w:val="0"/>
                <w:bCs w:val="0"/>
                <w:color w:val="auto"/>
                <w:kern w:val="0"/>
                <w:sz w:val="24"/>
                <w:u w:val="none"/>
              </w:rPr>
              <w:t>★搭载心理、运动、营养自测他测程序，由患者或责任护士完成评分后自动跳出结果，并手动推送相应的健康教育连接。</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auto"/>
                <w:kern w:val="0"/>
                <w:sz w:val="24"/>
              </w:rPr>
            </w:pPr>
          </w:p>
        </w:tc>
      </w:tr>
      <w:tr>
        <w:tblPrEx>
          <w:tblCellMar>
            <w:top w:w="0" w:type="dxa"/>
            <w:left w:w="108" w:type="dxa"/>
            <w:bottom w:w="0" w:type="dxa"/>
            <w:right w:w="108" w:type="dxa"/>
          </w:tblCellMar>
        </w:tblPrEx>
        <w:trPr>
          <w:trHeight w:val="756" w:hRule="atLeast"/>
        </w:trPr>
        <w:tc>
          <w:tcPr>
            <w:tcW w:w="773"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val="0"/>
                <w:bCs w:val="0"/>
                <w:color w:val="auto"/>
                <w:kern w:val="0"/>
                <w:sz w:val="24"/>
              </w:rPr>
            </w:pPr>
          </w:p>
        </w:tc>
        <w:tc>
          <w:tcPr>
            <w:tcW w:w="992" w:type="dxa"/>
            <w:vMerge w:val="continue"/>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kern w:val="0"/>
                <w:sz w:val="24"/>
              </w:rPr>
            </w:pP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b w:val="0"/>
                <w:bCs w:val="0"/>
                <w:color w:val="auto"/>
                <w:kern w:val="0"/>
                <w:sz w:val="24"/>
                <w:u w:val="none"/>
              </w:rPr>
            </w:pPr>
            <w:r>
              <w:rPr>
                <w:rFonts w:hint="eastAsia" w:ascii="宋体" w:hAnsi="宋体" w:eastAsia="宋体" w:cs="宋体"/>
                <w:b w:val="0"/>
                <w:bCs w:val="0"/>
                <w:color w:val="auto"/>
                <w:kern w:val="0"/>
                <w:sz w:val="24"/>
                <w:u w:val="none"/>
              </w:rPr>
              <w:t>★患者端可上传我们要求患者填写的信息：如在居家血压，饮水量、内瘘自测情况等等</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auto"/>
                <w:kern w:val="0"/>
                <w:sz w:val="24"/>
              </w:rPr>
            </w:pPr>
          </w:p>
        </w:tc>
      </w:tr>
      <w:tr>
        <w:tblPrEx>
          <w:tblCellMar>
            <w:top w:w="0" w:type="dxa"/>
            <w:left w:w="108" w:type="dxa"/>
            <w:bottom w:w="0" w:type="dxa"/>
            <w:right w:w="108" w:type="dxa"/>
          </w:tblCellMar>
        </w:tblPrEx>
        <w:trPr>
          <w:trHeight w:val="386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sz w:val="24"/>
              </w:rPr>
              <w:t>1.6</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重点指标管理</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numPr>
                <w:ilvl w:val="0"/>
                <w:numId w:val="0"/>
              </w:numPr>
              <w:jc w:val="both"/>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支持对专病患者重点监测指标的设置和制定管理目标；</w:t>
            </w:r>
            <w:r>
              <w:rPr>
                <w:rFonts w:hint="eastAsia" w:ascii="宋体" w:hAnsi="宋体" w:eastAsia="宋体" w:cs="宋体"/>
                <w:sz w:val="24"/>
                <w:szCs w:val="24"/>
              </w:rPr>
              <w:br w:type="textWrapping"/>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支持重点指标变化趋势的对比分析等。</w:t>
            </w:r>
          </w:p>
          <w:p>
            <w:pPr>
              <w:jc w:val="both"/>
              <w:rPr>
                <w:rFonts w:hint="eastAsia"/>
              </w:rPr>
            </w:pPr>
          </w:p>
          <w:p>
            <w:pPr>
              <w:pStyle w:val="2"/>
              <w:numPr>
                <w:ilvl w:val="0"/>
                <w:numId w:val="0"/>
              </w:numPr>
              <w:jc w:val="both"/>
            </w:pP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b w:val="0"/>
                <w:bCs w:val="0"/>
                <w:color w:val="auto"/>
                <w:kern w:val="0"/>
                <w:sz w:val="24"/>
              </w:rPr>
            </w:pPr>
            <w:r>
              <w:rPr>
                <w:rFonts w:hint="eastAsia" w:ascii="宋体" w:hAnsi="宋体" w:cs="MS Mincho"/>
                <w:sz w:val="24"/>
                <w:szCs w:val="24"/>
              </w:rPr>
              <w:t>★</w:t>
            </w:r>
            <w:r>
              <w:rPr>
                <w:rFonts w:hint="eastAsia" w:ascii="宋体" w:hAnsi="宋体" w:eastAsia="宋体" w:cs="宋体"/>
                <w:b w:val="0"/>
                <w:bCs w:val="0"/>
                <w:color w:val="auto"/>
                <w:kern w:val="0"/>
                <w:sz w:val="24"/>
              </w:rPr>
              <w:t>1、重点指标包含：</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1）血常规：血红蛋白，血小板计数，白细胞计数</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2）肝功：丙氨酸氨基转移酶，白蛋白</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3）肾功：尿酸</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4）电解质：钾，钙</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5）大便常规：隐血，红细胞计数</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6）心脏彩超：EF</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7）内瘘彩超：管腔是否狭窄，是否有血栓</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8）深静脉导管：是否有血栓</w:t>
            </w:r>
            <w:r>
              <w:rPr>
                <w:rFonts w:hint="eastAsia" w:ascii="宋体" w:hAnsi="宋体" w:eastAsia="宋体" w:cs="宋体"/>
                <w:b w:val="0"/>
                <w:bCs w:val="0"/>
                <w:color w:val="auto"/>
                <w:kern w:val="0"/>
                <w:sz w:val="24"/>
              </w:rPr>
              <w:br w:type="textWrapping"/>
            </w:r>
            <w:r>
              <w:rPr>
                <w:rFonts w:hint="eastAsia" w:ascii="宋体" w:hAnsi="宋体" w:cs="MS Mincho"/>
                <w:sz w:val="24"/>
                <w:szCs w:val="24"/>
              </w:rPr>
              <w:t>★</w:t>
            </w:r>
            <w:r>
              <w:rPr>
                <w:rFonts w:hint="eastAsia" w:ascii="宋体" w:hAnsi="宋体" w:eastAsia="宋体" w:cs="宋体"/>
                <w:b w:val="0"/>
                <w:bCs w:val="0"/>
                <w:color w:val="auto"/>
                <w:kern w:val="0"/>
                <w:sz w:val="24"/>
              </w:rPr>
              <w:t>2、日常观察的指标，涉及多次检查记录，要求通过折线图形式显示；监测指标触发危急值后提醒医生，医生可以一键发送警示指令到患者手机</w:t>
            </w:r>
          </w:p>
          <w:p>
            <w:pPr>
              <w:widowControl/>
              <w:jc w:val="left"/>
              <w:textAlignment w:val="center"/>
              <w:rPr>
                <w:rFonts w:ascii="宋体" w:hAnsi="宋体" w:eastAsia="宋体" w:cs="宋体"/>
                <w:b w:val="0"/>
                <w:bCs w:val="0"/>
                <w:color w:val="auto"/>
                <w:sz w:val="24"/>
              </w:rPr>
            </w:pPr>
            <w:r>
              <w:rPr>
                <w:rFonts w:hint="eastAsia" w:ascii="宋体" w:hAnsi="宋体" w:cs="MS Mincho"/>
                <w:sz w:val="24"/>
                <w:szCs w:val="24"/>
              </w:rPr>
              <w:t>★</w:t>
            </w:r>
            <w:r>
              <w:rPr>
                <w:rFonts w:hint="eastAsia" w:ascii="宋体" w:hAnsi="宋体" w:eastAsia="宋体" w:cs="宋体"/>
                <w:b w:val="0"/>
                <w:bCs w:val="0"/>
                <w:color w:val="auto"/>
                <w:kern w:val="0"/>
                <w:sz w:val="24"/>
              </w:rPr>
              <w:t>3、根据就诊后的检查结果，对关键，生成评估报告，医生审核后发送给患者（医生设置所需生成报告的检查检验的时间段，软件设计方根据我们的设置，</w:t>
            </w:r>
            <w:r>
              <w:rPr>
                <w:rFonts w:hint="eastAsia"/>
                <w:b w:val="0"/>
                <w:bCs w:val="0"/>
                <w:color w:val="auto"/>
                <w:sz w:val="24"/>
              </w:rPr>
              <w:t>如当9</w:t>
            </w:r>
            <w:r>
              <w:rPr>
                <w:b w:val="0"/>
                <w:bCs w:val="0"/>
                <w:color w:val="auto"/>
                <w:sz w:val="24"/>
              </w:rPr>
              <w:t>0</w:t>
            </w:r>
            <w:r>
              <w:rPr>
                <w:rFonts w:hint="eastAsia" w:asciiTheme="minorEastAsia" w:hAnsiTheme="minorEastAsia"/>
                <w:b w:val="0"/>
                <w:bCs w:val="0"/>
                <w:color w:val="auto"/>
                <w:sz w:val="24"/>
              </w:rPr>
              <w:t>＜</w:t>
            </w:r>
            <w:r>
              <w:rPr>
                <w:rFonts w:hint="eastAsia"/>
                <w:b w:val="0"/>
                <w:bCs w:val="0"/>
                <w:color w:val="auto"/>
                <w:sz w:val="24"/>
              </w:rPr>
              <w:t>血红蛋白</w:t>
            </w:r>
            <w:r>
              <w:rPr>
                <w:rFonts w:hint="eastAsia" w:asciiTheme="minorEastAsia" w:hAnsiTheme="minorEastAsia"/>
                <w:b w:val="0"/>
                <w:bCs w:val="0"/>
                <w:color w:val="auto"/>
                <w:sz w:val="24"/>
              </w:rPr>
              <w:t>＜</w:t>
            </w:r>
            <w:r>
              <w:rPr>
                <w:rFonts w:asciiTheme="minorEastAsia" w:hAnsiTheme="minorEastAsia"/>
                <w:b w:val="0"/>
                <w:bCs w:val="0"/>
                <w:color w:val="auto"/>
                <w:sz w:val="24"/>
              </w:rPr>
              <w:t>100</w:t>
            </w:r>
            <w:r>
              <w:rPr>
                <w:rFonts w:hint="eastAsia" w:asciiTheme="minorEastAsia" w:hAnsiTheme="minorEastAsia"/>
                <w:b w:val="0"/>
                <w:bCs w:val="0"/>
                <w:color w:val="auto"/>
                <w:sz w:val="24"/>
              </w:rPr>
              <w:t>，促红素使用6</w:t>
            </w:r>
            <w:r>
              <w:rPr>
                <w:rFonts w:asciiTheme="minorEastAsia" w:hAnsiTheme="minorEastAsia"/>
                <w:b w:val="0"/>
                <w:bCs w:val="0"/>
                <w:color w:val="auto"/>
                <w:sz w:val="24"/>
              </w:rPr>
              <w:t>000u</w:t>
            </w:r>
            <w:r>
              <w:rPr>
                <w:rFonts w:hint="eastAsia" w:asciiTheme="minorEastAsia" w:hAnsiTheme="minorEastAsia"/>
                <w:b w:val="0"/>
                <w:bCs w:val="0"/>
                <w:color w:val="auto"/>
                <w:sz w:val="24"/>
              </w:rPr>
              <w:t>，一周三次</w:t>
            </w:r>
            <w:r>
              <w:rPr>
                <w:rFonts w:hint="eastAsia" w:ascii="宋体" w:hAnsi="宋体" w:eastAsia="宋体" w:cs="宋体"/>
                <w:b w:val="0"/>
                <w:bCs w:val="0"/>
                <w:color w:val="auto"/>
                <w:kern w:val="0"/>
                <w:sz w:val="24"/>
              </w:rPr>
              <w:t>）。该检查结果医生也可以再核准后一键发送至患者手机端</w:t>
            </w:r>
          </w:p>
        </w:tc>
      </w:tr>
      <w:tr>
        <w:tblPrEx>
          <w:tblCellMar>
            <w:top w:w="0" w:type="dxa"/>
            <w:left w:w="108" w:type="dxa"/>
            <w:bottom w:w="0" w:type="dxa"/>
            <w:right w:w="108" w:type="dxa"/>
          </w:tblCellMar>
        </w:tblPrEx>
        <w:trPr>
          <w:trHeight w:val="9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1.7</w:t>
            </w:r>
          </w:p>
          <w:p>
            <w:pPr>
              <w:widowControl/>
              <w:jc w:val="center"/>
              <w:textAlignment w:val="center"/>
              <w:rPr>
                <w:rFonts w:ascii="宋体" w:hAnsi="宋体" w:eastAsia="宋体" w:cs="宋体"/>
                <w:b w:val="0"/>
                <w:bCs w:val="0"/>
                <w:color w:val="auto"/>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专病干预管理</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cs="MS Mincho"/>
                <w:sz w:val="24"/>
                <w:szCs w:val="24"/>
              </w:rPr>
              <w:t>★</w:t>
            </w:r>
            <w:r>
              <w:rPr>
                <w:rFonts w:hint="eastAsia" w:ascii="宋体" w:hAnsi="宋体" w:eastAsia="宋体" w:cs="宋体"/>
                <w:b w:val="0"/>
                <w:bCs w:val="0"/>
                <w:color w:val="auto"/>
                <w:kern w:val="0"/>
                <w:sz w:val="24"/>
              </w:rPr>
              <w:t>支持下达个性化专病干预方案，包括：健康宣教、调查问卷、复诊方案等。</w:t>
            </w:r>
          </w:p>
        </w:tc>
        <w:tc>
          <w:tcPr>
            <w:tcW w:w="39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sz w:val="24"/>
              </w:rPr>
              <w:t>即可搭载我们提供的健康教育资料，按照专病路径管理的路径，向患者自动推送。</w:t>
            </w:r>
          </w:p>
        </w:tc>
      </w:tr>
      <w:tr>
        <w:tblPrEx>
          <w:tblCellMar>
            <w:top w:w="0" w:type="dxa"/>
            <w:left w:w="108" w:type="dxa"/>
            <w:bottom w:w="0" w:type="dxa"/>
            <w:right w:w="108" w:type="dxa"/>
          </w:tblCellMar>
        </w:tblPrEx>
        <w:trPr>
          <w:trHeight w:val="841"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1.8</w:t>
            </w:r>
          </w:p>
          <w:p>
            <w:pPr>
              <w:widowControl/>
              <w:jc w:val="center"/>
              <w:textAlignment w:val="center"/>
              <w:rPr>
                <w:rFonts w:ascii="宋体" w:hAnsi="宋体" w:eastAsia="宋体" w:cs="宋体"/>
                <w:b w:val="0"/>
                <w:bCs w:val="0"/>
                <w:color w:val="auto"/>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cs="MS Mincho"/>
                <w:sz w:val="24"/>
                <w:szCs w:val="24"/>
              </w:rPr>
              <w:t>★</w:t>
            </w:r>
            <w:r>
              <w:rPr>
                <w:rFonts w:hint="eastAsia" w:ascii="宋体" w:hAnsi="宋体" w:eastAsia="宋体" w:cs="宋体"/>
                <w:b w:val="0"/>
                <w:bCs w:val="0"/>
                <w:color w:val="auto"/>
                <w:kern w:val="0"/>
                <w:sz w:val="24"/>
              </w:rPr>
              <w:t>专病复诊管理</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1）支持根据患者专病路径生成复诊计划，也可手动调整复诊计划；</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2）提供复诊管理集约视图，实时查看专病患者复诊计划；</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3）支持复诊邀约，对过期未复诊患者进行电话、短信、微信提醒邀约；</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4）支持自动关联复诊记录和跟踪复诊结果。</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val="0"/>
                <w:bCs w:val="0"/>
                <w:color w:val="auto"/>
                <w:sz w:val="24"/>
              </w:rPr>
            </w:pPr>
          </w:p>
        </w:tc>
      </w:tr>
      <w:tr>
        <w:tblPrEx>
          <w:tblCellMar>
            <w:top w:w="0" w:type="dxa"/>
            <w:left w:w="108" w:type="dxa"/>
            <w:bottom w:w="0" w:type="dxa"/>
            <w:right w:w="108" w:type="dxa"/>
          </w:tblCellMar>
        </w:tblPrEx>
        <w:trPr>
          <w:trHeight w:val="9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1.9</w:t>
            </w:r>
          </w:p>
          <w:p>
            <w:pPr>
              <w:widowControl/>
              <w:jc w:val="center"/>
              <w:textAlignment w:val="center"/>
              <w:rPr>
                <w:rFonts w:ascii="宋体" w:hAnsi="宋体" w:eastAsia="宋体" w:cs="宋体"/>
                <w:b w:val="0"/>
                <w:bCs w:val="0"/>
                <w:color w:val="auto"/>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医护端</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1） 医护端提供面向医护人员统一的移动应用APP和PC端；</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2）支持自定义个人主页。</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val="0"/>
                <w:bCs w:val="0"/>
                <w:color w:val="auto"/>
                <w:sz w:val="24"/>
              </w:rPr>
            </w:pPr>
          </w:p>
        </w:tc>
      </w:tr>
      <w:tr>
        <w:tblPrEx>
          <w:tblCellMar>
            <w:top w:w="0" w:type="dxa"/>
            <w:left w:w="108" w:type="dxa"/>
            <w:bottom w:w="0" w:type="dxa"/>
            <w:right w:w="108" w:type="dxa"/>
          </w:tblCellMar>
        </w:tblPrEx>
        <w:trPr>
          <w:trHeight w:val="18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1.10</w:t>
            </w:r>
          </w:p>
          <w:p>
            <w:pPr>
              <w:widowControl/>
              <w:jc w:val="center"/>
              <w:textAlignment w:val="center"/>
              <w:rPr>
                <w:rFonts w:ascii="宋体" w:hAnsi="宋体" w:eastAsia="宋体" w:cs="宋体"/>
                <w:b w:val="0"/>
                <w:bCs w:val="0"/>
                <w:color w:val="auto"/>
                <w:sz w:val="24"/>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患者端</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1） 提供面向居民/患者的统一“互联网+”入口，支持微信服务号、小程序、支付宝生活号等多种应用方式；</w:t>
            </w:r>
            <w:r>
              <w:rPr>
                <w:rFonts w:hint="eastAsia" w:ascii="宋体" w:hAnsi="宋体" w:eastAsia="宋体" w:cs="宋体"/>
                <w:b w:val="0"/>
                <w:bCs w:val="0"/>
                <w:color w:val="auto"/>
                <w:kern w:val="0"/>
                <w:sz w:val="24"/>
              </w:rPr>
              <w:br w:type="textWrapping"/>
            </w:r>
            <w:r>
              <w:rPr>
                <w:rFonts w:hint="eastAsia" w:ascii="宋体" w:hAnsi="宋体" w:eastAsia="宋体" w:cs="宋体"/>
                <w:b w:val="0"/>
                <w:bCs w:val="0"/>
                <w:color w:val="auto"/>
                <w:kern w:val="0"/>
                <w:sz w:val="24"/>
              </w:rPr>
              <w:t>2）支持患者服务主页快速自定义，提供可视化页面调整功能。</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val="0"/>
                <w:bCs w:val="0"/>
                <w:color w:val="auto"/>
                <w:sz w:val="24"/>
              </w:rPr>
            </w:pPr>
          </w:p>
        </w:tc>
      </w:tr>
      <w:tr>
        <w:tblPrEx>
          <w:tblCellMar>
            <w:top w:w="0" w:type="dxa"/>
            <w:left w:w="108" w:type="dxa"/>
            <w:bottom w:w="0" w:type="dxa"/>
            <w:right w:w="108" w:type="dxa"/>
          </w:tblCellMar>
        </w:tblPrEx>
        <w:trPr>
          <w:trHeight w:val="120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val="0"/>
                <w:bCs w:val="0"/>
                <w:color w:val="auto"/>
                <w:sz w:val="24"/>
              </w:rPr>
            </w:pPr>
            <w:r>
              <w:rPr>
                <w:rFonts w:hint="eastAsia" w:ascii="宋体" w:hAnsi="宋体" w:eastAsia="宋体" w:cs="宋体"/>
                <w:b w:val="0"/>
                <w:bCs w:val="0"/>
                <w:color w:val="auto"/>
                <w:sz w:val="24"/>
              </w:rPr>
              <w:t>1.11</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科研分析管理</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b w:val="0"/>
                <w:bCs w:val="0"/>
                <w:color w:val="auto"/>
                <w:sz w:val="24"/>
              </w:rPr>
            </w:pPr>
            <w:r>
              <w:rPr>
                <w:rFonts w:hint="eastAsia" w:ascii="宋体" w:hAnsi="宋体" w:eastAsia="宋体" w:cs="宋体"/>
                <w:b w:val="0"/>
                <w:bCs w:val="0"/>
                <w:color w:val="auto"/>
                <w:kern w:val="0"/>
                <w:sz w:val="24"/>
              </w:rPr>
              <w:t>集成患者院内院外就诊记录和健康数据，形成患者诊疗全过程、多维度的大数据中心及分析模型。</w:t>
            </w: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val="0"/>
                <w:bCs w:val="0"/>
                <w:color w:val="auto"/>
                <w:sz w:val="24"/>
              </w:rPr>
            </w:pPr>
          </w:p>
        </w:tc>
      </w:tr>
      <w:tr>
        <w:tblPrEx>
          <w:tblCellMar>
            <w:top w:w="0" w:type="dxa"/>
            <w:left w:w="108" w:type="dxa"/>
            <w:bottom w:w="0" w:type="dxa"/>
            <w:right w:w="108" w:type="dxa"/>
          </w:tblCellMar>
        </w:tblPrEx>
        <w:trPr>
          <w:trHeight w:val="519" w:hRule="atLeast"/>
        </w:trPr>
        <w:tc>
          <w:tcPr>
            <w:tcW w:w="773" w:type="dxa"/>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jc w:val="center"/>
              <w:textAlignment w:val="center"/>
              <w:rPr>
                <w:rFonts w:ascii="宋体" w:hAnsi="宋体" w:eastAsia="宋体" w:cs="宋体"/>
                <w:b/>
                <w:bCs/>
                <w:color w:val="auto"/>
                <w:sz w:val="24"/>
              </w:rPr>
            </w:pPr>
            <w:r>
              <w:rPr>
                <w:rFonts w:hint="eastAsia" w:ascii="宋体" w:hAnsi="宋体" w:eastAsia="宋体" w:cs="宋体"/>
                <w:b/>
                <w:bCs/>
                <w:color w:val="auto"/>
                <w:kern w:val="0"/>
                <w:sz w:val="24"/>
              </w:rPr>
              <w:t>2</w:t>
            </w:r>
          </w:p>
        </w:tc>
        <w:tc>
          <w:tcPr>
            <w:tcW w:w="4463" w:type="dxa"/>
            <w:gridSpan w:val="2"/>
            <w:tcBorders>
              <w:top w:val="single" w:color="000000" w:sz="4" w:space="0"/>
              <w:left w:val="single" w:color="000000" w:sz="4" w:space="0"/>
              <w:bottom w:val="single" w:color="000000" w:sz="4" w:space="0"/>
              <w:right w:val="single" w:color="000000" w:sz="4" w:space="0"/>
            </w:tcBorders>
            <w:shd w:val="clear" w:color="auto" w:fill="E7E6E6"/>
            <w:noWrap/>
            <w:vAlign w:val="center"/>
          </w:tcPr>
          <w:p>
            <w:pPr>
              <w:widowControl/>
              <w:jc w:val="left"/>
              <w:textAlignment w:val="center"/>
              <w:rPr>
                <w:rFonts w:ascii="宋体" w:hAnsi="宋体" w:eastAsia="宋体" w:cs="宋体"/>
                <w:b/>
                <w:bCs/>
                <w:color w:val="auto"/>
                <w:sz w:val="24"/>
              </w:rPr>
            </w:pPr>
            <w:r>
              <w:rPr>
                <w:rFonts w:hint="eastAsia" w:ascii="宋体" w:hAnsi="宋体" w:eastAsia="宋体" w:cs="宋体"/>
                <w:b/>
                <w:bCs/>
                <w:color w:val="auto"/>
                <w:kern w:val="0"/>
                <w:sz w:val="24"/>
              </w:rPr>
              <w:t>系统接口</w:t>
            </w:r>
          </w:p>
        </w:tc>
        <w:tc>
          <w:tcPr>
            <w:tcW w:w="3963" w:type="dxa"/>
            <w:tcBorders>
              <w:top w:val="single" w:color="000000" w:sz="4" w:space="0"/>
              <w:left w:val="single" w:color="000000" w:sz="4" w:space="0"/>
              <w:bottom w:val="single" w:color="000000" w:sz="4" w:space="0"/>
              <w:right w:val="single" w:color="000000" w:sz="4" w:space="0"/>
            </w:tcBorders>
            <w:shd w:val="clear" w:color="auto" w:fill="E7E6E6"/>
            <w:vAlign w:val="center"/>
          </w:tcPr>
          <w:p>
            <w:pPr>
              <w:rPr>
                <w:rFonts w:ascii="宋体" w:hAnsi="宋体" w:eastAsia="宋体" w:cs="宋体"/>
                <w:b/>
                <w:bCs/>
                <w:color w:val="auto"/>
                <w:sz w:val="24"/>
              </w:rPr>
            </w:pPr>
          </w:p>
        </w:tc>
      </w:tr>
      <w:tr>
        <w:tblPrEx>
          <w:tblCellMar>
            <w:top w:w="0" w:type="dxa"/>
            <w:left w:w="108" w:type="dxa"/>
            <w:bottom w:w="0" w:type="dxa"/>
            <w:right w:w="108" w:type="dxa"/>
          </w:tblCellMar>
        </w:tblPrEx>
        <w:trPr>
          <w:trHeight w:val="72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2.1</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rPr>
              <w:t>his接口</w:t>
            </w:r>
          </w:p>
        </w:tc>
        <w:tc>
          <w:tcPr>
            <w:tcW w:w="34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auto"/>
                <w:sz w:val="24"/>
              </w:rPr>
            </w:pPr>
          </w:p>
        </w:tc>
        <w:tc>
          <w:tcPr>
            <w:tcW w:w="3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不包含第三方his公司收取的费用。</w:t>
            </w:r>
          </w:p>
        </w:tc>
      </w:tr>
      <w:tr>
        <w:tblPrEx>
          <w:tblCellMar>
            <w:top w:w="0" w:type="dxa"/>
            <w:left w:w="108" w:type="dxa"/>
            <w:bottom w:w="0" w:type="dxa"/>
            <w:right w:w="108" w:type="dxa"/>
          </w:tblCellMar>
        </w:tblPrEx>
        <w:trPr>
          <w:trHeight w:val="801" w:hRule="atLeast"/>
        </w:trPr>
        <w:tc>
          <w:tcPr>
            <w:tcW w:w="773" w:type="dxa"/>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24"/>
              </w:rPr>
            </w:pPr>
            <w:r>
              <w:rPr>
                <w:rFonts w:hint="eastAsia" w:ascii="宋体" w:hAnsi="宋体" w:eastAsia="宋体" w:cs="宋体"/>
                <w:color w:val="auto"/>
                <w:kern w:val="0"/>
                <w:sz w:val="24"/>
              </w:rPr>
              <w:t>2.2</w:t>
            </w:r>
          </w:p>
        </w:tc>
        <w:tc>
          <w:tcPr>
            <w:tcW w:w="992" w:type="dxa"/>
            <w:tcBorders>
              <w:top w:val="single" w:color="000000" w:sz="4" w:space="0"/>
              <w:left w:val="single" w:color="000000" w:sz="4" w:space="0"/>
              <w:bottom w:val="single" w:color="000000" w:themeColor="text1" w:sz="4" w:space="0"/>
              <w:right w:val="single" w:color="000000" w:sz="4" w:space="0"/>
            </w:tcBorders>
            <w:shd w:val="clear" w:color="auto" w:fill="FFFFFF"/>
            <w:vAlign w:val="center"/>
          </w:tcPr>
          <w:p>
            <w:pPr>
              <w:widowControl/>
              <w:jc w:val="left"/>
              <w:textAlignment w:val="center"/>
              <w:rPr>
                <w:rFonts w:ascii="宋体" w:hAnsi="宋体" w:eastAsia="宋体" w:cs="宋体"/>
                <w:color w:val="auto"/>
                <w:sz w:val="24"/>
              </w:rPr>
            </w:pPr>
            <w:r>
              <w:rPr>
                <w:rFonts w:hint="eastAsia" w:ascii="宋体" w:hAnsi="宋体" w:eastAsia="宋体" w:cs="宋体"/>
                <w:color w:val="auto"/>
                <w:kern w:val="0"/>
                <w:sz w:val="24"/>
              </w:rPr>
              <w:t>朗腾肾透析系统接口</w:t>
            </w:r>
          </w:p>
        </w:tc>
        <w:tc>
          <w:tcPr>
            <w:tcW w:w="3471" w:type="dxa"/>
            <w:tcBorders>
              <w:top w:val="single" w:color="000000" w:sz="4" w:space="0"/>
              <w:left w:val="single" w:color="000000" w:sz="4" w:space="0"/>
              <w:bottom w:val="single" w:color="000000" w:themeColor="text1" w:sz="4" w:space="0"/>
              <w:right w:val="single" w:color="000000" w:sz="4" w:space="0"/>
            </w:tcBorders>
            <w:shd w:val="clear" w:color="auto" w:fill="FFFFFF"/>
            <w:vAlign w:val="center"/>
          </w:tcPr>
          <w:p>
            <w:pPr>
              <w:jc w:val="left"/>
              <w:rPr>
                <w:rFonts w:ascii="宋体" w:hAnsi="宋体" w:eastAsia="宋体" w:cs="宋体"/>
                <w:color w:val="auto"/>
                <w:sz w:val="24"/>
              </w:rPr>
            </w:pPr>
          </w:p>
        </w:tc>
        <w:tc>
          <w:tcPr>
            <w:tcW w:w="3963" w:type="dxa"/>
            <w:tcBorders>
              <w:top w:val="single" w:color="000000" w:sz="4" w:space="0"/>
              <w:left w:val="single" w:color="000000" w:sz="4" w:space="0"/>
              <w:bottom w:val="single" w:color="000000" w:themeColor="text1" w:sz="4" w:space="0"/>
              <w:right w:val="single" w:color="000000" w:sz="4" w:space="0"/>
            </w:tcBorders>
            <w:shd w:val="clear" w:color="auto" w:fill="auto"/>
            <w:noWrap/>
            <w:vAlign w:val="center"/>
          </w:tcPr>
          <w:p>
            <w:pPr>
              <w:rPr>
                <w:rFonts w:ascii="宋体" w:hAnsi="宋体" w:eastAsia="宋体" w:cs="宋体"/>
                <w:color w:val="auto"/>
                <w:sz w:val="24"/>
              </w:rPr>
            </w:pPr>
            <w:r>
              <w:rPr>
                <w:rFonts w:hint="eastAsia" w:ascii="宋体" w:hAnsi="宋体" w:eastAsia="宋体" w:cs="宋体"/>
                <w:color w:val="auto"/>
                <w:sz w:val="24"/>
              </w:rPr>
              <w:t>采用的方式为：由我方开放数据接口，由郎腾方调用接口写入数据。</w:t>
            </w:r>
          </w:p>
        </w:tc>
      </w:tr>
    </w:tbl>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rPr>
          <w:rFonts w:hint="eastAsia"/>
          <w:color w:val="auto"/>
        </w:rPr>
      </w:pPr>
    </w:p>
    <w:p>
      <w:pPr>
        <w:pStyle w:val="28"/>
        <w:rPr>
          <w:rFonts w:hint="eastAsia"/>
          <w:color w:val="auto"/>
        </w:rPr>
      </w:pPr>
    </w:p>
    <w:p>
      <w:pPr>
        <w:rPr>
          <w:rFonts w:hint="eastAsia"/>
          <w:color w:val="auto"/>
        </w:rPr>
      </w:pPr>
    </w:p>
    <w:p>
      <w:pPr>
        <w:rPr>
          <w:rFonts w:hint="eastAsia"/>
          <w:color w:val="auto"/>
        </w:rPr>
      </w:pPr>
    </w:p>
    <w:p>
      <w:pPr>
        <w:rPr>
          <w:rFonts w:hint="eastAsia"/>
          <w:b/>
          <w:color w:val="auto"/>
          <w:sz w:val="32"/>
          <w:szCs w:val="22"/>
        </w:rPr>
      </w:pPr>
      <w:bookmarkStart w:id="28" w:name="_Toc24535"/>
      <w:r>
        <w:rPr>
          <w:rFonts w:hint="eastAsia"/>
          <w:b/>
          <w:color w:val="auto"/>
          <w:sz w:val="32"/>
          <w:szCs w:val="22"/>
        </w:rPr>
        <w:br w:type="page"/>
      </w:r>
    </w:p>
    <w:p>
      <w:pPr>
        <w:pStyle w:val="3"/>
        <w:spacing w:line="276" w:lineRule="auto"/>
        <w:jc w:val="center"/>
        <w:rPr>
          <w:rFonts w:hint="eastAsia"/>
          <w:b/>
          <w:color w:val="auto"/>
          <w:sz w:val="32"/>
          <w:szCs w:val="22"/>
        </w:rPr>
      </w:pPr>
      <w:r>
        <w:rPr>
          <w:rFonts w:hint="eastAsia"/>
          <w:b/>
          <w:color w:val="auto"/>
          <w:sz w:val="32"/>
          <w:szCs w:val="22"/>
        </w:rPr>
        <w:t>第二部分 商务要求</w:t>
      </w:r>
      <w:bookmarkEnd w:id="28"/>
    </w:p>
    <w:p>
      <w:pPr>
        <w:pStyle w:val="4"/>
        <w:spacing w:before="120" w:after="0" w:line="360" w:lineRule="auto"/>
        <w:jc w:val="left"/>
        <w:rPr>
          <w:rFonts w:hint="eastAsia" w:ascii="宋体" w:hAnsi="宋体" w:eastAsia="宋体"/>
          <w:color w:val="auto"/>
          <w:sz w:val="24"/>
          <w:szCs w:val="24"/>
          <w:lang w:eastAsia="zh-CN"/>
        </w:rPr>
      </w:pPr>
      <w:r>
        <w:rPr>
          <w:rFonts w:hint="eastAsia" w:ascii="宋体" w:hAnsi="宋体"/>
          <w:color w:val="auto"/>
          <w:sz w:val="28"/>
          <w:szCs w:val="28"/>
        </w:rPr>
        <w:t>一、交付</w:t>
      </w:r>
      <w:r>
        <w:rPr>
          <w:rFonts w:hint="eastAsia" w:ascii="宋体" w:hAnsi="宋体"/>
          <w:color w:val="auto"/>
          <w:sz w:val="28"/>
          <w:szCs w:val="28"/>
          <w:lang w:eastAsia="zh-CN"/>
        </w:rPr>
        <w:t>与响应</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（一）交付期：</w:t>
      </w:r>
      <w:r>
        <w:rPr>
          <w:rFonts w:hint="eastAsia" w:ascii="宋体" w:hAnsi="宋体"/>
          <w:color w:val="auto"/>
          <w:sz w:val="24"/>
          <w:szCs w:val="24"/>
          <w:lang w:eastAsia="zh-CN"/>
        </w:rPr>
        <w:t>中标人</w:t>
      </w:r>
      <w:r>
        <w:rPr>
          <w:rFonts w:hint="eastAsia" w:ascii="宋体" w:hAnsi="宋体"/>
          <w:color w:val="auto"/>
          <w:sz w:val="24"/>
          <w:szCs w:val="24"/>
        </w:rPr>
        <w:t>应在签订合同之日起</w:t>
      </w:r>
      <w:r>
        <w:rPr>
          <w:rFonts w:hint="eastAsia" w:ascii="宋体" w:hAnsi="宋体"/>
          <w:color w:val="auto"/>
          <w:sz w:val="24"/>
          <w:szCs w:val="24"/>
          <w:lang w:eastAsia="zh-CN"/>
        </w:rPr>
        <w:t>、</w:t>
      </w:r>
      <w:r>
        <w:rPr>
          <w:rFonts w:hint="eastAsia" w:ascii="宋体" w:hAnsi="宋体"/>
          <w:color w:val="auto"/>
          <w:sz w:val="24"/>
          <w:szCs w:val="24"/>
          <w:lang w:val="en-US" w:eastAsia="zh-CN"/>
        </w:rPr>
        <w:t>180</w:t>
      </w:r>
      <w:r>
        <w:rPr>
          <w:rFonts w:hint="eastAsia" w:ascii="宋体" w:hAnsi="宋体"/>
          <w:color w:val="auto"/>
          <w:sz w:val="24"/>
          <w:szCs w:val="24"/>
        </w:rPr>
        <w:t>个</w:t>
      </w:r>
      <w:r>
        <w:rPr>
          <w:rFonts w:hint="eastAsia" w:ascii="宋体" w:hAnsi="宋体"/>
          <w:color w:val="auto"/>
          <w:sz w:val="24"/>
          <w:szCs w:val="24"/>
          <w:lang w:val="en-US" w:eastAsia="zh-CN"/>
        </w:rPr>
        <w:t>工作</w:t>
      </w:r>
      <w:r>
        <w:rPr>
          <w:rFonts w:hint="eastAsia" w:ascii="宋体" w:hAnsi="宋体"/>
          <w:color w:val="auto"/>
          <w:sz w:val="24"/>
          <w:szCs w:val="24"/>
        </w:rPr>
        <w:t>日内</w:t>
      </w:r>
      <w:r>
        <w:rPr>
          <w:rFonts w:hint="eastAsia" w:ascii="宋体" w:hAnsi="宋体"/>
          <w:color w:val="auto"/>
          <w:sz w:val="24"/>
          <w:szCs w:val="24"/>
          <w:lang w:eastAsia="zh-CN"/>
        </w:rPr>
        <w:t>完成</w:t>
      </w:r>
      <w:r>
        <w:rPr>
          <w:rFonts w:hint="eastAsia" w:ascii="宋体" w:hAnsi="宋体"/>
          <w:color w:val="auto"/>
          <w:sz w:val="24"/>
          <w:szCs w:val="24"/>
          <w:lang w:val="en-US" w:eastAsia="zh-CN"/>
        </w:rPr>
        <w:t>软件开发、</w:t>
      </w:r>
      <w:r>
        <w:rPr>
          <w:rFonts w:hint="eastAsia" w:ascii="宋体" w:hAnsi="宋体"/>
          <w:sz w:val="24"/>
          <w:szCs w:val="24"/>
        </w:rPr>
        <w:t>与各业务系统对接，全系统安装调试完毕达到验收交付条件</w:t>
      </w:r>
      <w:r>
        <w:rPr>
          <w:rFonts w:hint="eastAsia" w:ascii="宋体" w:hAnsi="宋体"/>
          <w:color w:val="auto"/>
          <w:sz w:val="24"/>
          <w:szCs w:val="24"/>
          <w:lang w:eastAsia="zh-CN"/>
        </w:rPr>
        <w:t>。</w:t>
      </w:r>
    </w:p>
    <w:p>
      <w:pPr>
        <w:spacing w:line="360" w:lineRule="auto"/>
        <w:ind w:firstLine="480" w:firstLineChars="200"/>
        <w:rPr>
          <w:rFonts w:hint="eastAsia" w:ascii="宋体" w:hAnsi="宋体" w:eastAsia="宋体" w:cs="Times New Roman"/>
          <w:color w:val="auto"/>
          <w:sz w:val="24"/>
          <w:szCs w:val="24"/>
        </w:rPr>
      </w:pPr>
      <w:r>
        <w:rPr>
          <w:rFonts w:hint="eastAsia" w:ascii="宋体" w:hAnsi="宋体" w:eastAsia="宋体" w:cs="Times New Roman"/>
          <w:color w:val="auto"/>
          <w:sz w:val="24"/>
          <w:szCs w:val="24"/>
        </w:rPr>
        <w:t>（二）交付地点：采购人指定地点。</w:t>
      </w:r>
    </w:p>
    <w:p>
      <w:pPr>
        <w:spacing w:line="360" w:lineRule="auto"/>
        <w:ind w:firstLine="480" w:firstLineChars="200"/>
        <w:rPr>
          <w:rFonts w:hint="default" w:ascii="宋体" w:hAnsi="宋体" w:cs="Times New Roman"/>
          <w:color w:val="auto"/>
          <w:sz w:val="24"/>
          <w:szCs w:val="24"/>
          <w:lang w:val="en-US" w:eastAsia="zh-CN"/>
        </w:rPr>
      </w:pPr>
      <w:r>
        <w:rPr>
          <w:rFonts w:hint="eastAsia" w:ascii="宋体" w:hAnsi="宋体" w:eastAsia="宋体" w:cs="Times New Roman"/>
          <w:color w:val="auto"/>
          <w:sz w:val="24"/>
          <w:szCs w:val="24"/>
        </w:rPr>
        <w:t>（三）</w:t>
      </w:r>
      <w:r>
        <w:rPr>
          <w:rFonts w:hint="eastAsia" w:ascii="宋体" w:hAnsi="宋体" w:cs="Times New Roman"/>
          <w:color w:val="auto"/>
          <w:sz w:val="24"/>
          <w:szCs w:val="24"/>
          <w:lang w:eastAsia="zh-CN"/>
        </w:rPr>
        <w:t>质保期（服务期）：</w:t>
      </w:r>
      <w:r>
        <w:rPr>
          <w:rFonts w:hint="eastAsia" w:ascii="宋体" w:hAnsi="宋体" w:cs="Times New Roman"/>
          <w:color w:val="auto"/>
          <w:sz w:val="24"/>
          <w:szCs w:val="24"/>
          <w:lang w:val="en-US" w:eastAsia="zh-CN"/>
        </w:rPr>
        <w:t>1年</w:t>
      </w:r>
    </w:p>
    <w:p>
      <w:pPr>
        <w:spacing w:line="360" w:lineRule="auto"/>
        <w:ind w:firstLine="480" w:firstLineChars="200"/>
        <w:rPr>
          <w:rFonts w:hint="eastAsia" w:ascii="宋体" w:hAnsi="宋体" w:eastAsia="宋体" w:cs="Times New Roman"/>
          <w:color w:val="auto"/>
          <w:sz w:val="24"/>
          <w:szCs w:val="24"/>
        </w:rPr>
      </w:pPr>
      <w:r>
        <w:rPr>
          <w:rFonts w:hint="eastAsia" w:ascii="宋体" w:hAnsi="宋体" w:cs="Times New Roman"/>
          <w:color w:val="auto"/>
          <w:sz w:val="24"/>
          <w:szCs w:val="24"/>
          <w:lang w:eastAsia="zh-CN"/>
        </w:rPr>
        <w:t>（四）售后</w:t>
      </w:r>
      <w:r>
        <w:rPr>
          <w:rFonts w:hint="eastAsia" w:ascii="宋体" w:hAnsi="宋体" w:eastAsia="宋体" w:cs="Times New Roman"/>
          <w:color w:val="auto"/>
          <w:sz w:val="24"/>
          <w:szCs w:val="24"/>
        </w:rPr>
        <w:t>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w:t>
      </w:r>
      <w:r>
        <w:rPr>
          <w:rFonts w:hint="eastAsia" w:ascii="宋体" w:hAnsi="宋体" w:cs="Times New Roman"/>
          <w:color w:val="auto"/>
          <w:sz w:val="24"/>
          <w:szCs w:val="24"/>
          <w:lang w:val="en-US" w:eastAsia="zh-CN"/>
        </w:rPr>
        <w:t>质保</w:t>
      </w:r>
      <w:r>
        <w:rPr>
          <w:rFonts w:hint="eastAsia" w:ascii="宋体" w:hAnsi="宋体" w:eastAsia="宋体" w:cs="Times New Roman"/>
          <w:color w:val="auto"/>
          <w:sz w:val="24"/>
          <w:szCs w:val="24"/>
          <w:lang w:val="en-US" w:eastAsia="zh-CN"/>
        </w:rPr>
        <w:t>期间，</w:t>
      </w:r>
      <w:r>
        <w:rPr>
          <w:rFonts w:hint="eastAsia" w:ascii="宋体" w:hAnsi="宋体" w:cs="Times New Roman"/>
          <w:color w:val="auto"/>
          <w:sz w:val="24"/>
          <w:szCs w:val="24"/>
          <w:lang w:val="en-US" w:eastAsia="zh-CN"/>
        </w:rPr>
        <w:t>中标人</w:t>
      </w:r>
      <w:r>
        <w:rPr>
          <w:rFonts w:hint="eastAsia" w:ascii="宋体" w:hAnsi="宋体" w:eastAsia="宋体" w:cs="Times New Roman"/>
          <w:color w:val="auto"/>
          <w:sz w:val="24"/>
          <w:szCs w:val="24"/>
          <w:lang w:val="en-US" w:eastAsia="zh-CN"/>
        </w:rPr>
        <w:t>提供免费技术服务。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2、服务内容及要求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1）提供软件免费适应性修改及免费升级服务。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2）提供7*24小时电话、网络、微信服务号等远程技术支持服务。如遇重大问题需现场处理乙方须在2小时内到达医院现场。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3）提供平台运行安全保障服务。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4）提供数据安全保障服务。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5）提供云计算资源的扩展和性能保障服务，包括服务器、存贮动态扩展，负载均衡服务。</w:t>
      </w:r>
    </w:p>
    <w:p>
      <w:pPr>
        <w:pStyle w:val="4"/>
        <w:spacing w:before="120" w:after="0" w:line="360" w:lineRule="auto"/>
        <w:jc w:val="left"/>
        <w:rPr>
          <w:rFonts w:hint="eastAsia" w:ascii="宋体" w:hAnsi="宋体" w:eastAsia="宋体" w:cs="Times New Roman"/>
          <w:b/>
          <w:color w:val="auto"/>
          <w:sz w:val="28"/>
          <w:szCs w:val="28"/>
        </w:rPr>
      </w:pPr>
      <w:r>
        <w:rPr>
          <w:rFonts w:hint="eastAsia" w:ascii="宋体" w:hAnsi="宋体" w:eastAsia="宋体" w:cs="Times New Roman"/>
          <w:b/>
          <w:color w:val="auto"/>
          <w:sz w:val="28"/>
          <w:szCs w:val="28"/>
          <w:lang w:eastAsia="zh-CN"/>
        </w:rPr>
        <w:t>二、</w:t>
      </w:r>
      <w:r>
        <w:rPr>
          <w:rFonts w:hint="eastAsia" w:ascii="宋体" w:hAnsi="宋体" w:eastAsia="宋体" w:cs="Times New Roman"/>
          <w:b/>
          <w:color w:val="auto"/>
          <w:sz w:val="28"/>
          <w:szCs w:val="28"/>
        </w:rPr>
        <w:t>验收要求</w:t>
      </w:r>
    </w:p>
    <w:p>
      <w:pPr>
        <w:spacing w:line="360" w:lineRule="auto"/>
        <w:ind w:firstLine="480" w:firstLineChars="200"/>
        <w:rPr>
          <w:rFonts w:hint="eastAsia" w:ascii="宋体" w:hAnsi="宋体"/>
          <w:sz w:val="24"/>
          <w:szCs w:val="24"/>
        </w:rPr>
      </w:pPr>
      <w:r>
        <w:rPr>
          <w:rFonts w:hint="eastAsia" w:ascii="宋体" w:hAnsi="宋体"/>
          <w:sz w:val="24"/>
          <w:szCs w:val="24"/>
        </w:rPr>
        <w:t>1、由采购人组织验收。</w:t>
      </w:r>
    </w:p>
    <w:p>
      <w:pPr>
        <w:spacing w:line="360" w:lineRule="auto"/>
        <w:ind w:firstLine="480" w:firstLineChars="200"/>
        <w:rPr>
          <w:rFonts w:hint="eastAsia" w:ascii="宋体" w:hAnsi="宋体"/>
          <w:sz w:val="24"/>
          <w:szCs w:val="24"/>
        </w:rPr>
      </w:pPr>
      <w:r>
        <w:rPr>
          <w:rFonts w:hint="eastAsia" w:ascii="宋体" w:hAnsi="宋体"/>
          <w:sz w:val="24"/>
          <w:szCs w:val="24"/>
        </w:rPr>
        <w:t>2、验收标准：招投标文件、医疗行业规范标准惯例、医疗行业从业人员常用习惯、合同约定等。</w:t>
      </w:r>
    </w:p>
    <w:p>
      <w:pPr>
        <w:spacing w:line="360" w:lineRule="auto"/>
        <w:ind w:firstLine="480" w:firstLineChars="200"/>
        <w:rPr>
          <w:rFonts w:hint="eastAsia" w:ascii="宋体" w:hAnsi="宋体"/>
          <w:sz w:val="24"/>
          <w:szCs w:val="24"/>
        </w:rPr>
      </w:pPr>
      <w:r>
        <w:rPr>
          <w:rFonts w:hint="eastAsia" w:ascii="宋体" w:hAnsi="宋体"/>
          <w:sz w:val="24"/>
          <w:szCs w:val="24"/>
        </w:rPr>
        <w:t>3、验收流程：项目安装调试完毕、试用效果良好后，中标人向采购人申请验收；经验收合格，采购人出具项目验收报告。验收合格报告作为付款必备条件和质保期起算的依据。</w:t>
      </w:r>
    </w:p>
    <w:p>
      <w:pPr>
        <w:spacing w:line="360" w:lineRule="auto"/>
        <w:ind w:firstLine="480" w:firstLineChars="200"/>
        <w:rPr>
          <w:rFonts w:hint="eastAsia" w:ascii="宋体" w:hAnsi="宋体"/>
          <w:sz w:val="24"/>
          <w:szCs w:val="24"/>
        </w:rPr>
      </w:pPr>
      <w:r>
        <w:rPr>
          <w:rFonts w:hint="eastAsia" w:ascii="宋体" w:hAnsi="宋体"/>
          <w:sz w:val="24"/>
          <w:szCs w:val="24"/>
        </w:rPr>
        <w:t>4、在合同约定工期内没通过正式验收合格，采购人不退还履约保证金，并按第五篇的相应条款进行处理。</w:t>
      </w:r>
    </w:p>
    <w:p>
      <w:pPr>
        <w:numPr>
          <w:ilvl w:val="0"/>
          <w:numId w:val="0"/>
        </w:numPr>
        <w:ind w:leftChars="0"/>
        <w:rPr>
          <w:rFonts w:hint="default" w:eastAsia="宋体"/>
          <w:color w:val="auto"/>
          <w:lang w:val="en-US" w:eastAsia="zh-CN"/>
        </w:rPr>
      </w:pPr>
    </w:p>
    <w:p>
      <w:pPr>
        <w:pStyle w:val="4"/>
        <w:spacing w:before="120" w:after="0" w:line="360" w:lineRule="auto"/>
        <w:jc w:val="left"/>
        <w:rPr>
          <w:rFonts w:hint="eastAsia" w:ascii="宋体" w:hAnsi="宋体"/>
          <w:color w:val="auto"/>
          <w:sz w:val="28"/>
          <w:szCs w:val="28"/>
        </w:rPr>
      </w:pPr>
      <w:r>
        <w:rPr>
          <w:rFonts w:hint="eastAsia" w:ascii="宋体" w:hAnsi="宋体"/>
          <w:color w:val="auto"/>
          <w:sz w:val="28"/>
          <w:szCs w:val="28"/>
        </w:rPr>
        <w:t>三、报价要求</w:t>
      </w:r>
    </w:p>
    <w:p>
      <w:pPr>
        <w:spacing w:line="360" w:lineRule="auto"/>
        <w:ind w:firstLine="480" w:firstLineChars="200"/>
        <w:rPr>
          <w:rFonts w:hint="eastAsia" w:ascii="宋体" w:hAnsi="宋体"/>
          <w:sz w:val="24"/>
          <w:szCs w:val="24"/>
        </w:rPr>
      </w:pPr>
      <w:r>
        <w:rPr>
          <w:rFonts w:hint="eastAsia" w:ascii="宋体" w:hAnsi="宋体"/>
          <w:sz w:val="24"/>
          <w:szCs w:val="24"/>
        </w:rPr>
        <w:t>以人民币、总价包干方式报价，报价包含但不限于：软件费、硬件费、实施费、培训费、与采购人在用系统间的软件接口费、质保期内售后服务费、税费等所有费用。</w:t>
      </w:r>
    </w:p>
    <w:p>
      <w:pPr>
        <w:pStyle w:val="4"/>
        <w:spacing w:before="120" w:after="0" w:line="360" w:lineRule="auto"/>
        <w:jc w:val="left"/>
        <w:rPr>
          <w:rFonts w:hint="eastAsia" w:ascii="宋体" w:hAnsi="宋体"/>
          <w:color w:val="auto"/>
          <w:sz w:val="28"/>
          <w:szCs w:val="28"/>
        </w:rPr>
      </w:pPr>
      <w:bookmarkStart w:id="29" w:name="_Toc441065665"/>
      <w:r>
        <w:rPr>
          <w:rFonts w:hint="eastAsia" w:ascii="宋体" w:hAnsi="宋体"/>
          <w:color w:val="auto"/>
          <w:sz w:val="28"/>
          <w:szCs w:val="28"/>
        </w:rPr>
        <w:t>四、付款方式</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lang w:eastAsia="zh-CN"/>
        </w:rPr>
        <w:t>无预付款，项目验收合格</w:t>
      </w:r>
      <w:r>
        <w:rPr>
          <w:rFonts w:hint="eastAsia" w:ascii="宋体" w:hAnsi="宋体"/>
          <w:color w:val="auto"/>
          <w:sz w:val="24"/>
          <w:szCs w:val="24"/>
        </w:rPr>
        <w:t>后</w:t>
      </w:r>
      <w:r>
        <w:rPr>
          <w:rFonts w:hint="eastAsia" w:ascii="宋体" w:hAnsi="宋体"/>
          <w:color w:val="auto"/>
          <w:sz w:val="24"/>
          <w:szCs w:val="24"/>
          <w:lang w:val="en-US" w:eastAsia="zh-CN"/>
        </w:rPr>
        <w:t>30</w:t>
      </w:r>
      <w:r>
        <w:rPr>
          <w:rFonts w:hint="eastAsia" w:ascii="宋体" w:hAnsi="宋体"/>
          <w:color w:val="auto"/>
          <w:sz w:val="24"/>
          <w:szCs w:val="24"/>
        </w:rPr>
        <w:t>日内一次性</w:t>
      </w:r>
      <w:r>
        <w:rPr>
          <w:rFonts w:hint="eastAsia" w:ascii="宋体" w:hAnsi="宋体"/>
          <w:color w:val="auto"/>
          <w:sz w:val="24"/>
          <w:szCs w:val="24"/>
          <w:lang w:eastAsia="zh-CN"/>
        </w:rPr>
        <w:t>付清合同全款</w:t>
      </w:r>
      <w:r>
        <w:rPr>
          <w:rFonts w:hint="eastAsia" w:ascii="宋体" w:hAnsi="宋体"/>
          <w:color w:val="auto"/>
          <w:sz w:val="24"/>
          <w:szCs w:val="24"/>
        </w:rPr>
        <w:t>。</w:t>
      </w:r>
    </w:p>
    <w:p>
      <w:pPr>
        <w:pStyle w:val="4"/>
        <w:spacing w:before="120" w:after="0" w:line="360" w:lineRule="auto"/>
        <w:jc w:val="left"/>
        <w:rPr>
          <w:rFonts w:hint="eastAsia" w:ascii="宋体" w:hAnsi="宋体"/>
          <w:color w:val="auto"/>
          <w:sz w:val="28"/>
          <w:szCs w:val="28"/>
        </w:rPr>
      </w:pPr>
      <w:r>
        <w:rPr>
          <w:rFonts w:hint="eastAsia" w:ascii="宋体" w:hAnsi="宋体"/>
          <w:color w:val="auto"/>
          <w:sz w:val="28"/>
          <w:szCs w:val="28"/>
        </w:rPr>
        <w:t>五、知识产权</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采购人在中华人民共和国境内使用成交供应商提供服务时免受第三方提出的侵犯其专利权或其它知识产权的起诉。如果第三方提出侵权指控，成交供应商应承担由此而引起的一切法律责任和费用。</w:t>
      </w:r>
    </w:p>
    <w:p>
      <w:pPr>
        <w:pStyle w:val="4"/>
        <w:spacing w:before="120" w:after="0" w:line="360" w:lineRule="auto"/>
        <w:jc w:val="left"/>
        <w:rPr>
          <w:rFonts w:hint="eastAsia" w:ascii="宋体" w:hAnsi="宋体"/>
          <w:color w:val="auto"/>
          <w:sz w:val="28"/>
          <w:szCs w:val="28"/>
        </w:rPr>
      </w:pPr>
      <w:r>
        <w:rPr>
          <w:rFonts w:hint="eastAsia" w:ascii="宋体" w:hAnsi="宋体"/>
          <w:color w:val="auto"/>
          <w:sz w:val="28"/>
          <w:szCs w:val="28"/>
        </w:rPr>
        <w:t>六、培训</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lang w:eastAsia="zh-CN"/>
        </w:rPr>
        <w:t>根据</w:t>
      </w:r>
      <w:r>
        <w:rPr>
          <w:rFonts w:hint="eastAsia" w:ascii="宋体" w:hAnsi="宋体"/>
          <w:color w:val="auto"/>
          <w:sz w:val="24"/>
          <w:szCs w:val="24"/>
        </w:rPr>
        <w:t>采购人</w:t>
      </w:r>
      <w:r>
        <w:rPr>
          <w:rFonts w:hint="eastAsia" w:ascii="宋体" w:hAnsi="宋体"/>
          <w:color w:val="auto"/>
          <w:sz w:val="24"/>
          <w:szCs w:val="24"/>
          <w:lang w:eastAsia="zh-CN"/>
        </w:rPr>
        <w:t>情况，及时对新人、新项目、新技术或特殊情况进行分阶段培训，充分满足使用需要</w:t>
      </w:r>
      <w:r>
        <w:rPr>
          <w:rFonts w:hint="eastAsia" w:ascii="宋体" w:hAnsi="宋体"/>
          <w:color w:val="auto"/>
          <w:sz w:val="24"/>
          <w:szCs w:val="24"/>
        </w:rPr>
        <w:t>。</w:t>
      </w:r>
      <w:r>
        <w:rPr>
          <w:rFonts w:hint="eastAsia" w:ascii="宋体" w:hAnsi="宋体"/>
          <w:color w:val="auto"/>
          <w:sz w:val="24"/>
          <w:szCs w:val="24"/>
          <w:lang w:eastAsia="zh-CN"/>
        </w:rPr>
        <w:t>提供多种服务方式提高培训质量。</w:t>
      </w:r>
    </w:p>
    <w:p>
      <w:pPr>
        <w:pStyle w:val="4"/>
        <w:spacing w:before="120" w:after="0" w:line="360" w:lineRule="auto"/>
        <w:jc w:val="left"/>
        <w:rPr>
          <w:rFonts w:hint="eastAsia" w:ascii="宋体" w:hAnsi="宋体"/>
          <w:color w:val="auto"/>
          <w:sz w:val="28"/>
          <w:szCs w:val="28"/>
        </w:rPr>
      </w:pPr>
      <w:r>
        <w:rPr>
          <w:rFonts w:hint="eastAsia" w:ascii="宋体" w:hAnsi="宋体"/>
          <w:color w:val="auto"/>
          <w:sz w:val="28"/>
          <w:szCs w:val="28"/>
        </w:rPr>
        <w:t>七、其他</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1.供应商必须在响应文件中对以上条款和服务承诺明确列出，承诺内容必须达到本篇及磋商文件其他条款的要求。</w:t>
      </w:r>
    </w:p>
    <w:p>
      <w:pPr>
        <w:spacing w:line="360" w:lineRule="auto"/>
        <w:ind w:firstLine="480" w:firstLineChars="200"/>
        <w:rPr>
          <w:rFonts w:hint="eastAsia" w:ascii="宋体" w:hAnsi="宋体"/>
          <w:color w:val="auto"/>
          <w:szCs w:val="28"/>
        </w:rPr>
      </w:pPr>
      <w:r>
        <w:rPr>
          <w:rFonts w:hint="eastAsia" w:ascii="宋体" w:hAnsi="宋体"/>
          <w:color w:val="auto"/>
          <w:sz w:val="24"/>
          <w:szCs w:val="24"/>
        </w:rPr>
        <w:t>2.其他未尽事宜由供需双方在采购合同中详细约定。</w:t>
      </w:r>
    </w:p>
    <w:p>
      <w:pPr>
        <w:ind w:firstLine="480" w:firstLineChars="200"/>
        <w:rPr>
          <w:rFonts w:ascii="宋体" w:hAnsi="宋体"/>
          <w:color w:val="auto"/>
          <w:sz w:val="24"/>
          <w:szCs w:val="28"/>
        </w:rPr>
      </w:pPr>
      <w:r>
        <w:rPr>
          <w:rFonts w:hint="eastAsia" w:ascii="宋体" w:hAnsi="宋体"/>
          <w:color w:val="auto"/>
          <w:sz w:val="24"/>
          <w:szCs w:val="28"/>
        </w:rPr>
        <w:t xml:space="preserve"> </w:t>
      </w:r>
      <w:bookmarkEnd w:id="29"/>
    </w:p>
    <w:p>
      <w:pPr>
        <w:rPr>
          <w:rFonts w:hint="eastAsia" w:ascii="宋体" w:hAnsi="宋体" w:cs="宋体"/>
          <w:color w:val="auto"/>
          <w:kern w:val="0"/>
        </w:rPr>
      </w:pPr>
      <w:r>
        <w:rPr>
          <w:rFonts w:ascii="宋体" w:hAnsi="宋体"/>
          <w:color w:val="auto"/>
        </w:rPr>
        <w:br w:type="page"/>
      </w:r>
    </w:p>
    <w:p>
      <w:pPr>
        <w:pStyle w:val="2"/>
        <w:spacing w:before="0" w:beforeLines="0" w:after="0" w:afterLines="0" w:line="276" w:lineRule="auto"/>
        <w:jc w:val="both"/>
        <w:rPr>
          <w:rFonts w:hint="eastAsia" w:ascii="宋体" w:hAnsi="宋体" w:eastAsia="宋体"/>
          <w:color w:val="auto"/>
        </w:rPr>
      </w:pPr>
      <w:bookmarkStart w:id="30" w:name="_Toc15745"/>
      <w:r>
        <w:rPr>
          <w:rFonts w:hint="eastAsia" w:ascii="宋体" w:hAnsi="宋体" w:eastAsia="宋体"/>
          <w:color w:val="auto"/>
        </w:rPr>
        <w:t>第三篇  评审程序、评审方法和评审标准</w:t>
      </w:r>
      <w:bookmarkEnd w:id="30"/>
    </w:p>
    <w:p>
      <w:pPr>
        <w:pStyle w:val="3"/>
        <w:spacing w:line="276" w:lineRule="auto"/>
        <w:rPr>
          <w:rFonts w:hint="eastAsia"/>
          <w:b/>
          <w:color w:val="auto"/>
          <w:sz w:val="24"/>
          <w:szCs w:val="24"/>
        </w:rPr>
      </w:pPr>
      <w:bookmarkStart w:id="31" w:name="_Toc441065674"/>
      <w:bookmarkStart w:id="32" w:name="_Toc8311"/>
      <w:r>
        <w:rPr>
          <w:rFonts w:hint="eastAsia"/>
          <w:b/>
          <w:color w:val="auto"/>
          <w:sz w:val="24"/>
          <w:szCs w:val="24"/>
        </w:rPr>
        <w:t>一、</w:t>
      </w:r>
      <w:bookmarkEnd w:id="31"/>
      <w:r>
        <w:rPr>
          <w:rFonts w:hint="eastAsia"/>
          <w:b/>
          <w:color w:val="auto"/>
          <w:sz w:val="24"/>
          <w:szCs w:val="24"/>
        </w:rPr>
        <w:t>评审程序</w:t>
      </w:r>
      <w:bookmarkEnd w:id="32"/>
    </w:p>
    <w:p>
      <w:pPr>
        <w:spacing w:line="276" w:lineRule="auto"/>
        <w:rPr>
          <w:rFonts w:hint="eastAsia" w:ascii="宋体" w:hAnsi="宋体" w:cs="宋体"/>
          <w:color w:val="auto"/>
          <w:kern w:val="0"/>
          <w:sz w:val="24"/>
          <w:szCs w:val="24"/>
        </w:rPr>
      </w:pPr>
      <w:r>
        <w:rPr>
          <w:rFonts w:hint="eastAsia" w:ascii="宋体" w:hAnsi="宋体"/>
          <w:color w:val="auto"/>
        </w:rPr>
        <w:t xml:space="preserve">    </w:t>
      </w:r>
      <w:r>
        <w:rPr>
          <w:rFonts w:hint="eastAsia" w:ascii="宋体" w:hAnsi="宋体" w:cs="宋体"/>
          <w:color w:val="auto"/>
          <w:kern w:val="0"/>
          <w:sz w:val="24"/>
          <w:szCs w:val="24"/>
        </w:rPr>
        <w:t>评审工作由采购人主持，具体评审工作由采购人依法组建的竞争性磋商小组负责。磋商小组到位后，推举其中一位评审专家担任评审组长，并由评审组长牵头组织该项目评审工作。磋商小组按以下程序独立履行评审职责：</w:t>
      </w:r>
    </w:p>
    <w:p>
      <w:pPr>
        <w:snapToGrid w:val="0"/>
        <w:spacing w:line="276"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1、资格性检查。依据法律法规和磋商文件的规定，对响应文件中的供应商营业执照、组织机构代码证、税务登记证（见注</w:t>
      </w: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2</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）、诚信声明、特定资格条件证明文件、供应商法定代表人身份证明书和授权代表委托书身份证明等进行审查，以确定供应商是否具备竞争性磋商资格。</w:t>
      </w:r>
    </w:p>
    <w:p>
      <w:pPr>
        <w:snapToGrid w:val="0"/>
        <w:spacing w:line="276"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注：</w:t>
      </w:r>
    </w:p>
    <w:p>
      <w:pPr>
        <w:snapToGrid w:val="0"/>
        <w:spacing w:line="276"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1</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以联合体参与磋商的，共同参与协议中应确定主办方（主体），</w:t>
      </w:r>
      <w:r>
        <w:rPr>
          <w:rFonts w:hint="eastAsia" w:ascii="宋体" w:hAnsi="宋体"/>
          <w:color w:val="auto"/>
          <w:sz w:val="24"/>
        </w:rPr>
        <w:t>代表联合体进行磋商和澄清。</w:t>
      </w:r>
      <w:r>
        <w:rPr>
          <w:rFonts w:hint="eastAsia" w:ascii="宋体" w:hAnsi="宋体" w:cs="宋体"/>
          <w:color w:val="auto"/>
          <w:kern w:val="0"/>
          <w:sz w:val="24"/>
          <w:szCs w:val="24"/>
        </w:rPr>
        <w:t>联合体各方均应满足供应商资格要求（详见“第一篇”）。</w:t>
      </w:r>
    </w:p>
    <w:p>
      <w:pPr>
        <w:snapToGrid w:val="0"/>
        <w:spacing w:line="276"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fldChar w:fldCharType="begin"/>
      </w:r>
      <w:r>
        <w:rPr>
          <w:rFonts w:hint="eastAsia" w:ascii="宋体" w:hAnsi="宋体" w:cs="宋体"/>
          <w:color w:val="auto"/>
          <w:kern w:val="0"/>
          <w:sz w:val="24"/>
          <w:szCs w:val="24"/>
        </w:rPr>
        <w:instrText xml:space="preserve"> eq \o\ac(○,</w:instrText>
      </w:r>
      <w:r>
        <w:rPr>
          <w:rFonts w:hint="eastAsia" w:ascii="宋体" w:hAnsi="宋体" w:cs="宋体"/>
          <w:color w:val="auto"/>
          <w:kern w:val="0"/>
          <w:position w:val="3"/>
          <w:sz w:val="16"/>
          <w:szCs w:val="24"/>
        </w:rPr>
        <w:instrText xml:space="preserve">2</w:instrText>
      </w:r>
      <w:r>
        <w:rPr>
          <w:rFonts w:hint="eastAsia" w:ascii="宋体" w:hAnsi="宋体" w:cs="宋体"/>
          <w:color w:val="auto"/>
          <w:kern w:val="0"/>
          <w:sz w:val="24"/>
          <w:szCs w:val="24"/>
        </w:rPr>
        <w:instrText xml:space="preserve">)</w:instrText>
      </w:r>
      <w:r>
        <w:rPr>
          <w:rFonts w:hint="eastAsia" w:ascii="宋体" w:hAnsi="宋体" w:cs="宋体"/>
          <w:color w:val="auto"/>
          <w:kern w:val="0"/>
          <w:sz w:val="24"/>
          <w:szCs w:val="24"/>
        </w:rPr>
        <w:fldChar w:fldCharType="end"/>
      </w:r>
      <w:r>
        <w:rPr>
          <w:rFonts w:hint="eastAsia" w:ascii="宋体" w:hAnsi="宋体" w:cs="宋体"/>
          <w:color w:val="auto"/>
          <w:kern w:val="0"/>
          <w:sz w:val="24"/>
          <w:szCs w:val="24"/>
        </w:rPr>
        <w:t>供应商按“多证合一”登记制度办理营业执照的，组织机构代码证、税务登记证（副本）和社会保险登记证以投标人所提供的营业执照（副本）复印件为准。</w:t>
      </w:r>
    </w:p>
    <w:p>
      <w:pPr>
        <w:snapToGrid w:val="0"/>
        <w:spacing w:line="276"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采购人将通过“信用中国”网站(www.creditchina.gov.cn)、"中国政府采购网"(www.ccgp.gov.cn)等渠道查询供应商信用记录，对列入失信被执行人、重大税收违法案件当事人名单、政府采购严重违法失信行为记录名单及其他不符合《中华人民共和国政府采购法》第二十二条规定条件的供应商将拒绝其参与政府采购活动。</w:t>
      </w:r>
    </w:p>
    <w:p>
      <w:pPr>
        <w:snapToGrid w:val="0"/>
        <w:spacing w:line="276" w:lineRule="auto"/>
        <w:rPr>
          <w:rFonts w:hint="eastAsia" w:ascii="宋体" w:hAnsi="宋体"/>
          <w:color w:val="auto"/>
          <w:sz w:val="24"/>
          <w:szCs w:val="24"/>
        </w:rPr>
      </w:pPr>
      <w:r>
        <w:rPr>
          <w:rFonts w:hint="eastAsia" w:ascii="宋体" w:hAnsi="宋体" w:cs="宋体"/>
          <w:color w:val="auto"/>
          <w:kern w:val="0"/>
          <w:sz w:val="24"/>
          <w:szCs w:val="24"/>
        </w:rPr>
        <w:t xml:space="preserve">    3、符合性检查。依据磋商文件的规定，从响应文件的有效性、完整性和对磋商文件的响应程度进行审查，以确定是否对磋商文件的实质性要求作出响应。</w:t>
      </w:r>
    </w:p>
    <w:p>
      <w:pPr>
        <w:snapToGrid w:val="0"/>
        <w:spacing w:line="276" w:lineRule="auto"/>
        <w:ind w:firstLine="480" w:firstLineChars="200"/>
        <w:rPr>
          <w:rFonts w:hint="eastAsia" w:ascii="宋体" w:hAnsi="宋体"/>
          <w:color w:val="auto"/>
          <w:sz w:val="24"/>
          <w:szCs w:val="24"/>
        </w:rPr>
      </w:pPr>
      <w:r>
        <w:rPr>
          <w:rFonts w:hint="eastAsia" w:ascii="宋体" w:hAnsi="宋体" w:cs="方正仿宋_GBK"/>
          <w:color w:val="auto"/>
          <w:sz w:val="24"/>
          <w:szCs w:val="24"/>
        </w:rPr>
        <w:t>4、对响应文件的有效性、完整性和响应程度进行审查结束后。竞争性磋商小组所有成员按签到顺序集中与单一供应商分别进行磋商。</w:t>
      </w:r>
    </w:p>
    <w:p>
      <w:pPr>
        <w:snapToGrid w:val="0"/>
        <w:spacing w:line="276" w:lineRule="auto"/>
        <w:rPr>
          <w:rFonts w:hint="eastAsia" w:ascii="宋体" w:hAnsi="宋体"/>
          <w:color w:val="auto"/>
          <w:sz w:val="24"/>
          <w:szCs w:val="24"/>
        </w:rPr>
      </w:pPr>
      <w:r>
        <w:rPr>
          <w:rFonts w:hint="eastAsia" w:ascii="宋体" w:hAnsi="宋体"/>
          <w:color w:val="auto"/>
          <w:sz w:val="24"/>
          <w:szCs w:val="24"/>
        </w:rPr>
        <w:t xml:space="preserve">    5、澄清有关问题。对响应文件中含义不明确、同类问题表述不一致或者有明显文字和计算错误的内容，磋商小组可以书面形式（应当由磋商小组成员签字）要求供应商作出必要澄清、说明或者纠正。供应商的澄清、说明或者补正应当采用书面形式，由其法定代表人授权代表签字，其澄清的内容不得超出响应文件的范围或者改变响应文件的实质性内容。</w:t>
      </w:r>
    </w:p>
    <w:p>
      <w:pPr>
        <w:spacing w:line="276" w:lineRule="auto"/>
        <w:rPr>
          <w:rFonts w:hint="eastAsia" w:ascii="宋体" w:hAnsi="宋体" w:cs="方正仿宋_GBK"/>
          <w:color w:val="auto"/>
          <w:sz w:val="24"/>
          <w:szCs w:val="24"/>
        </w:rPr>
      </w:pPr>
      <w:r>
        <w:rPr>
          <w:rFonts w:hint="eastAsia" w:ascii="宋体" w:hAnsi="宋体" w:cs="方正仿宋_GBK"/>
          <w:color w:val="auto"/>
          <w:sz w:val="24"/>
          <w:szCs w:val="24"/>
        </w:rPr>
        <w:t xml:space="preserve">   6、在磋商过程中，竞争性磋商小组可以根据磋商文件和磋商情况实质性变动采购需求中的技术、服务要求以及合同草案条款，但不得变动磋商文件中的其他内容。实质性变动的内容，须经采购人代表确认。</w:t>
      </w:r>
    </w:p>
    <w:p>
      <w:pPr>
        <w:spacing w:line="276" w:lineRule="auto"/>
        <w:ind w:firstLine="480" w:firstLineChars="200"/>
        <w:rPr>
          <w:rFonts w:hint="eastAsia" w:ascii="宋体" w:hAnsi="宋体" w:cs="方正仿宋_GBK"/>
          <w:b/>
          <w:bCs/>
          <w:color w:val="auto"/>
          <w:sz w:val="24"/>
          <w:szCs w:val="24"/>
        </w:rPr>
      </w:pPr>
      <w:r>
        <w:rPr>
          <w:rFonts w:hint="eastAsia" w:ascii="宋体" w:hAnsi="宋体" w:cs="方正仿宋_GBK"/>
          <w:color w:val="auto"/>
          <w:sz w:val="24"/>
          <w:szCs w:val="24"/>
        </w:rPr>
        <w:t>实质性变动的内容作为磋商文件的有效组成部分，磋商小组应当及时以书面形式同时通知所有参加谈判磋商的供应商。</w:t>
      </w:r>
    </w:p>
    <w:p>
      <w:pPr>
        <w:spacing w:line="276" w:lineRule="auto"/>
        <w:ind w:firstLine="480" w:firstLineChars="200"/>
        <w:rPr>
          <w:rFonts w:hint="eastAsia" w:ascii="宋体" w:hAnsi="宋体" w:cs="方正仿宋_GBK"/>
          <w:color w:val="auto"/>
          <w:sz w:val="24"/>
          <w:szCs w:val="24"/>
        </w:rPr>
      </w:pPr>
      <w:r>
        <w:rPr>
          <w:rFonts w:hint="eastAsia" w:ascii="宋体" w:hAnsi="宋体" w:cs="方正仿宋_GBK"/>
          <w:color w:val="auto"/>
          <w:sz w:val="24"/>
          <w:szCs w:val="24"/>
        </w:rPr>
        <w:t>7、供应商应当按照磋商文件的变动情况和磋商小组的要求作出相应的承诺，并由其法定代表人或授权代表签字或者加盖公章。若供应商需重新制定设计方案或解决方案，重新提交响应文件的，磋商小组应确定重新提交响应文件的时间和提交方式，并以书面的形式通知。</w:t>
      </w:r>
    </w:p>
    <w:p>
      <w:pPr>
        <w:spacing w:line="276" w:lineRule="auto"/>
        <w:ind w:firstLine="480" w:firstLineChars="200"/>
        <w:rPr>
          <w:rFonts w:hint="eastAsia" w:ascii="宋体" w:hAnsi="宋体" w:cs="方正仿宋_GBK"/>
          <w:color w:val="auto"/>
          <w:sz w:val="24"/>
          <w:szCs w:val="24"/>
        </w:rPr>
      </w:pPr>
      <w:r>
        <w:rPr>
          <w:rFonts w:hint="eastAsia" w:ascii="宋体" w:hAnsi="宋体" w:cs="方正仿宋_GBK"/>
          <w:color w:val="auto"/>
          <w:sz w:val="24"/>
          <w:szCs w:val="24"/>
        </w:rPr>
        <w:t>8、最后报价</w:t>
      </w:r>
    </w:p>
    <w:p>
      <w:pPr>
        <w:spacing w:line="276" w:lineRule="auto"/>
        <w:ind w:firstLine="482" w:firstLineChars="200"/>
        <w:rPr>
          <w:rFonts w:hint="eastAsia" w:ascii="宋体" w:hAnsi="宋体" w:cs="方正仿宋_GBK"/>
          <w:b/>
          <w:bCs/>
          <w:color w:val="auto"/>
          <w:sz w:val="24"/>
          <w:szCs w:val="24"/>
          <w:u w:val="single"/>
        </w:rPr>
      </w:pPr>
      <w:r>
        <w:rPr>
          <w:rFonts w:hint="eastAsia" w:ascii="宋体" w:hAnsi="宋体" w:cs="方正仿宋_GBK"/>
          <w:b/>
          <w:bCs/>
          <w:color w:val="auto"/>
          <w:sz w:val="24"/>
          <w:szCs w:val="24"/>
          <w:u w:val="single"/>
        </w:rPr>
        <w:t>能够详细列明采购标的的技术、服务要求的：</w:t>
      </w:r>
    </w:p>
    <w:p>
      <w:pPr>
        <w:spacing w:line="276" w:lineRule="auto"/>
        <w:ind w:firstLine="480" w:firstLineChars="200"/>
        <w:rPr>
          <w:rFonts w:hint="eastAsia" w:ascii="宋体" w:hAnsi="宋体" w:cs="方正仿宋_GBK"/>
          <w:color w:val="auto"/>
          <w:sz w:val="24"/>
          <w:szCs w:val="24"/>
        </w:rPr>
      </w:pPr>
      <w:r>
        <w:rPr>
          <w:rFonts w:hint="eastAsia" w:ascii="宋体" w:hAnsi="宋体" w:cs="方正仿宋_GBK"/>
          <w:color w:val="auto"/>
          <w:sz w:val="24"/>
          <w:szCs w:val="24"/>
        </w:rPr>
        <w:t>磋商结束后，磋商小组应当要求所有实质性响应的供应商在规定时间内提交最后报价，最后报价是供应商响应文件的有效组成部分。填写最后报价由其法定代表人或授权代表签字或者加盖公章。最后报价是供应商响应文件有效组成部分。</w:t>
      </w:r>
    </w:p>
    <w:p>
      <w:pPr>
        <w:spacing w:line="276" w:lineRule="auto"/>
        <w:ind w:firstLine="482" w:firstLineChars="200"/>
        <w:rPr>
          <w:rFonts w:hint="eastAsia" w:ascii="宋体" w:hAnsi="宋体" w:cs="方正仿宋_GBK"/>
          <w:b/>
          <w:bCs/>
          <w:color w:val="auto"/>
          <w:sz w:val="24"/>
          <w:szCs w:val="24"/>
          <w:u w:val="single"/>
        </w:rPr>
      </w:pPr>
      <w:r>
        <w:rPr>
          <w:rFonts w:hint="eastAsia" w:ascii="宋体" w:hAnsi="宋体" w:cs="方正仿宋_GBK"/>
          <w:b/>
          <w:bCs/>
          <w:color w:val="auto"/>
          <w:sz w:val="24"/>
          <w:szCs w:val="24"/>
          <w:u w:val="single"/>
        </w:rPr>
        <w:t>不能够详细列明采购标的的技术、服务要求的，需经磋商由供应商提供最终设计方案或解决方案的：</w:t>
      </w:r>
    </w:p>
    <w:p>
      <w:pPr>
        <w:spacing w:line="276" w:lineRule="auto"/>
        <w:ind w:firstLine="480" w:firstLineChars="200"/>
        <w:rPr>
          <w:rFonts w:hint="eastAsia" w:ascii="宋体" w:hAnsi="宋体" w:cs="方正仿宋_GBK"/>
          <w:color w:val="auto"/>
          <w:sz w:val="24"/>
          <w:szCs w:val="24"/>
        </w:rPr>
      </w:pPr>
      <w:r>
        <w:rPr>
          <w:rFonts w:hint="eastAsia" w:ascii="宋体" w:hAnsi="宋体" w:cs="方正仿宋_GBK"/>
          <w:color w:val="auto"/>
          <w:sz w:val="24"/>
          <w:szCs w:val="24"/>
        </w:rPr>
        <w:t>磋商小组应当按照少数服从多数的原则投票推荐3家以上供应商的设计方案和解决方案，并要求其在规定时间内提交最后报价。填写最后报价由其法定代表人或授权代表签字或者加盖公章。最后报价是供应商响应文件有效组成部分。</w:t>
      </w:r>
    </w:p>
    <w:p>
      <w:pPr>
        <w:spacing w:line="276" w:lineRule="auto"/>
        <w:ind w:firstLine="480" w:firstLineChars="200"/>
        <w:rPr>
          <w:rFonts w:hint="eastAsia" w:ascii="宋体" w:hAnsi="宋体"/>
          <w:color w:val="auto"/>
          <w:sz w:val="24"/>
          <w:szCs w:val="24"/>
        </w:rPr>
      </w:pPr>
      <w:r>
        <w:rPr>
          <w:rFonts w:hint="eastAsia" w:ascii="宋体" w:hAnsi="宋体" w:cs="方正仿宋_GBK"/>
          <w:color w:val="auto"/>
          <w:sz w:val="24"/>
          <w:szCs w:val="24"/>
        </w:rPr>
        <w:t>9、经磋商确定最终采购需求和提交最后报价的供应商后，由磋商小组采用综合评分法对提交最后报价的供应商的响应文件和最后报价进行综合评分。</w:t>
      </w:r>
    </w:p>
    <w:p>
      <w:pPr>
        <w:pStyle w:val="3"/>
        <w:spacing w:line="276" w:lineRule="auto"/>
        <w:ind w:firstLine="482" w:firstLineChars="200"/>
        <w:rPr>
          <w:rFonts w:hint="eastAsia"/>
          <w:b/>
          <w:color w:val="auto"/>
          <w:sz w:val="24"/>
          <w:szCs w:val="24"/>
        </w:rPr>
      </w:pPr>
      <w:bookmarkStart w:id="33" w:name="_Toc10729"/>
      <w:r>
        <w:rPr>
          <w:rFonts w:hint="eastAsia"/>
          <w:b/>
          <w:color w:val="auto"/>
          <w:sz w:val="24"/>
          <w:szCs w:val="24"/>
        </w:rPr>
        <w:t>二、评审方法</w:t>
      </w:r>
      <w:bookmarkEnd w:id="33"/>
    </w:p>
    <w:p>
      <w:pPr>
        <w:snapToGrid w:val="0"/>
        <w:spacing w:line="276"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本项目采用综合评分法进行评分。综合评分法，是指响应文件满足磋商文件全部实质性要求且按照评审因素的量化指标评审得分最高的为成交候选供应商的评审方法。供应商总得分为价格、商务、技术等评定因素分别按照相应权重值计算分项得分后相加，满分为100分。</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2、磋商小组各成员独立对每个有效供应商的响应文件进行评价、打分，然后由组长组织磋商小组对各成员打分情况进行核查及复核，个别成员对同一供应商同一评分项的打分偏离较大的，应对供应商的响应文件进行再次核对，确属打分有误的，应及时进行修正。</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复核后，磋商小组汇总每个供应商每项评分因素的得分。</w:t>
      </w:r>
    </w:p>
    <w:p>
      <w:pPr>
        <w:snapToGrid w:val="0"/>
        <w:spacing w:line="276" w:lineRule="auto"/>
        <w:ind w:firstLine="480" w:firstLineChars="200"/>
        <w:rPr>
          <w:rFonts w:hint="eastAsia" w:ascii="宋体" w:hAnsi="宋体"/>
          <w:b/>
          <w:color w:val="auto"/>
          <w:sz w:val="24"/>
          <w:szCs w:val="24"/>
        </w:rPr>
      </w:pPr>
      <w:r>
        <w:rPr>
          <w:rFonts w:hint="eastAsia" w:ascii="宋体" w:hAnsi="宋体"/>
          <w:color w:val="auto"/>
          <w:sz w:val="24"/>
          <w:szCs w:val="24"/>
        </w:rPr>
        <w:t>3、推荐成交候选供应商名单。按评审后得分由高到低的排列顺序</w:t>
      </w:r>
      <w:r>
        <w:rPr>
          <w:rFonts w:hint="eastAsia" w:ascii="宋体" w:hAnsi="宋体" w:cs="宋体"/>
          <w:color w:val="auto"/>
          <w:kern w:val="0"/>
          <w:sz w:val="24"/>
          <w:szCs w:val="24"/>
        </w:rPr>
        <w:t>推荐综合得分排名前三的供应商为本分包（项目）成交候选供应商，</w:t>
      </w:r>
      <w:r>
        <w:rPr>
          <w:rFonts w:hint="eastAsia" w:ascii="宋体" w:hAnsi="宋体"/>
          <w:color w:val="auto"/>
          <w:sz w:val="24"/>
          <w:szCs w:val="24"/>
        </w:rPr>
        <w:t>排名第一的为第一成交候选供应商。若综合得分相同的，按最后报价由低到高顺序排列；若综合得分且最后报价相同的，按技术指标优劣顺序排列；若综合得分、最后报价、技术指标均相同的，按商务部分的优劣顺序排列。技术部分得分为0分的供应商，将失去成为成交候选供应商的资格。</w:t>
      </w:r>
      <w:r>
        <w:rPr>
          <w:rFonts w:hint="eastAsia" w:ascii="宋体" w:hAnsi="宋体"/>
          <w:color w:val="auto"/>
          <w:sz w:val="24"/>
          <w:szCs w:val="24"/>
        </w:rPr>
        <w:br w:type="page"/>
      </w:r>
      <w:bookmarkStart w:id="34" w:name="_Toc441065675"/>
      <w:bookmarkStart w:id="35" w:name="_Toc267320057"/>
      <w:r>
        <w:rPr>
          <w:rFonts w:hint="eastAsia" w:ascii="宋体" w:hAnsi="宋体"/>
          <w:b/>
          <w:color w:val="auto"/>
          <w:sz w:val="24"/>
          <w:szCs w:val="24"/>
        </w:rPr>
        <w:t>三、评审标准</w:t>
      </w:r>
      <w:bookmarkEnd w:id="34"/>
      <w:bookmarkEnd w:id="35"/>
    </w:p>
    <w:tbl>
      <w:tblPr>
        <w:tblStyle w:val="58"/>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067"/>
        <w:gridCol w:w="5427"/>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19" w:type="dxa"/>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分类</w:t>
            </w:r>
          </w:p>
        </w:tc>
        <w:tc>
          <w:tcPr>
            <w:tcW w:w="1067" w:type="dxa"/>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评分项</w:t>
            </w:r>
          </w:p>
          <w:p>
            <w:pPr>
              <w:widowControl/>
              <w:jc w:val="center"/>
              <w:rPr>
                <w:rFonts w:hint="eastAsia" w:ascii="宋体" w:hAnsi="宋体" w:cs="宋体"/>
                <w:b/>
                <w:bCs/>
                <w:kern w:val="0"/>
                <w:sz w:val="21"/>
                <w:szCs w:val="21"/>
              </w:rPr>
            </w:pPr>
            <w:r>
              <w:rPr>
                <w:rFonts w:hint="eastAsia" w:ascii="宋体" w:hAnsi="宋体" w:cs="宋体"/>
                <w:b/>
                <w:bCs/>
                <w:kern w:val="0"/>
                <w:sz w:val="21"/>
                <w:szCs w:val="21"/>
              </w:rPr>
              <w:t>及权重</w:t>
            </w:r>
          </w:p>
        </w:tc>
        <w:tc>
          <w:tcPr>
            <w:tcW w:w="5427" w:type="dxa"/>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评分标准</w:t>
            </w:r>
          </w:p>
        </w:tc>
        <w:tc>
          <w:tcPr>
            <w:tcW w:w="1771" w:type="dxa"/>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919" w:type="dxa"/>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1.</w:t>
            </w:r>
          </w:p>
          <w:p>
            <w:pPr>
              <w:widowControl/>
              <w:jc w:val="center"/>
              <w:rPr>
                <w:rFonts w:hint="eastAsia" w:ascii="宋体" w:hAnsi="宋体" w:cs="宋体"/>
                <w:b/>
                <w:bCs/>
                <w:kern w:val="0"/>
                <w:sz w:val="21"/>
                <w:szCs w:val="21"/>
              </w:rPr>
            </w:pPr>
            <w:r>
              <w:rPr>
                <w:rFonts w:hint="eastAsia" w:ascii="宋体" w:hAnsi="宋体" w:cs="宋体"/>
                <w:b/>
                <w:bCs/>
                <w:kern w:val="0"/>
                <w:sz w:val="21"/>
                <w:szCs w:val="21"/>
              </w:rPr>
              <w:t>经济</w:t>
            </w:r>
          </w:p>
          <w:p>
            <w:pPr>
              <w:widowControl/>
              <w:jc w:val="center"/>
              <w:rPr>
                <w:rFonts w:hint="eastAsia" w:ascii="宋体" w:hAnsi="宋体" w:cs="宋体"/>
                <w:b/>
                <w:bCs/>
                <w:kern w:val="0"/>
                <w:sz w:val="21"/>
                <w:szCs w:val="21"/>
              </w:rPr>
            </w:pPr>
            <w:r>
              <w:rPr>
                <w:rFonts w:hint="eastAsia" w:ascii="宋体" w:hAnsi="宋体" w:cs="宋体"/>
                <w:b/>
                <w:bCs/>
                <w:kern w:val="0"/>
                <w:sz w:val="21"/>
                <w:szCs w:val="21"/>
              </w:rPr>
              <w:t>部分</w:t>
            </w:r>
          </w:p>
          <w:p>
            <w:pPr>
              <w:widowControl/>
              <w:jc w:val="center"/>
              <w:rPr>
                <w:rFonts w:hint="eastAsia" w:ascii="宋体" w:hAnsi="宋体" w:cs="宋体"/>
                <w:b/>
                <w:kern w:val="0"/>
                <w:sz w:val="21"/>
                <w:szCs w:val="21"/>
              </w:rPr>
            </w:pPr>
            <w:r>
              <w:rPr>
                <w:rFonts w:hint="eastAsia" w:ascii="宋体" w:hAnsi="宋体" w:cs="宋体"/>
                <w:b/>
                <w:bCs/>
                <w:kern w:val="0"/>
                <w:sz w:val="21"/>
                <w:szCs w:val="21"/>
              </w:rPr>
              <w:t>（20%）</w:t>
            </w:r>
          </w:p>
        </w:tc>
        <w:tc>
          <w:tcPr>
            <w:tcW w:w="106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经济分</w:t>
            </w:r>
          </w:p>
          <w:p>
            <w:pPr>
              <w:jc w:val="center"/>
              <w:rPr>
                <w:rFonts w:hint="eastAsia" w:ascii="方正仿宋_GBK" w:hAnsi="宋体" w:eastAsia="方正仿宋_GBK"/>
                <w:sz w:val="21"/>
                <w:szCs w:val="21"/>
              </w:rPr>
            </w:pPr>
            <w:r>
              <w:rPr>
                <w:rFonts w:hint="eastAsia" w:ascii="方正仿宋_GBK" w:hAnsi="宋体" w:eastAsia="方正仿宋_GBK"/>
                <w:sz w:val="21"/>
                <w:szCs w:val="21"/>
              </w:rPr>
              <w:t>（20）</w:t>
            </w:r>
          </w:p>
        </w:tc>
        <w:tc>
          <w:tcPr>
            <w:tcW w:w="5427" w:type="dxa"/>
            <w:noWrap w:val="0"/>
            <w:vAlign w:val="center"/>
          </w:tcPr>
          <w:p>
            <w:pPr>
              <w:spacing w:line="276" w:lineRule="auto"/>
              <w:ind w:firstLine="399" w:firstLineChars="190"/>
              <w:rPr>
                <w:rFonts w:hint="eastAsia" w:ascii="宋体" w:hAnsi="宋体"/>
                <w:sz w:val="21"/>
                <w:szCs w:val="21"/>
              </w:rPr>
            </w:pPr>
            <w:r>
              <w:rPr>
                <w:rFonts w:hint="eastAsia" w:ascii="宋体" w:hAnsi="宋体"/>
                <w:sz w:val="21"/>
                <w:szCs w:val="21"/>
              </w:rPr>
              <w:t>满足磋商文件要求且最后报价最低的供应商的价格为磋商基准价，其价格分为满分，其他供应商的价格分按照下列公式计算。</w:t>
            </w:r>
          </w:p>
          <w:p>
            <w:pPr>
              <w:widowControl/>
              <w:spacing w:line="276" w:lineRule="auto"/>
              <w:ind w:firstLine="399" w:firstLineChars="190"/>
              <w:jc w:val="left"/>
              <w:rPr>
                <w:rFonts w:hint="eastAsia" w:ascii="宋体" w:hAnsi="宋体" w:cs="宋体"/>
                <w:kern w:val="0"/>
                <w:sz w:val="21"/>
                <w:szCs w:val="21"/>
              </w:rPr>
            </w:pPr>
            <w:r>
              <w:rPr>
                <w:rFonts w:hint="eastAsia" w:ascii="宋体" w:hAnsi="宋体"/>
                <w:sz w:val="21"/>
                <w:szCs w:val="21"/>
              </w:rPr>
              <w:t>磋商报价得分＝（磋商基准价/最后磋商报价）×价格权重×100。</w:t>
            </w:r>
          </w:p>
        </w:tc>
        <w:tc>
          <w:tcPr>
            <w:tcW w:w="1771" w:type="dxa"/>
            <w:noWrap w:val="0"/>
            <w:vAlign w:val="center"/>
          </w:tcPr>
          <w:p>
            <w:pPr>
              <w:widowControl/>
              <w:rPr>
                <w:rFonts w:hint="eastAsia" w:ascii="宋体" w:hAnsi="宋体" w:cs="宋体"/>
                <w:kern w:val="0"/>
                <w:sz w:val="21"/>
                <w:szCs w:val="21"/>
              </w:rPr>
            </w:pPr>
            <w:r>
              <w:rPr>
                <w:rFonts w:hint="eastAsia" w:ascii="宋体" w:hAnsi="宋体" w:cs="宋体"/>
                <w:kern w:val="0"/>
                <w:sz w:val="21"/>
                <w:szCs w:val="21"/>
              </w:rPr>
              <w:t>对小型和微型企业产品的价格给予6%-10%的扣除，用扣除后的价格参与评审。具体参照相关规定执行。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9" w:type="dxa"/>
            <w:vMerge w:val="restart"/>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2.</w:t>
            </w:r>
          </w:p>
          <w:p>
            <w:pPr>
              <w:widowControl/>
              <w:jc w:val="center"/>
              <w:rPr>
                <w:rFonts w:hint="eastAsia" w:ascii="宋体" w:hAnsi="宋体" w:cs="宋体"/>
                <w:b/>
                <w:bCs/>
                <w:kern w:val="0"/>
                <w:sz w:val="21"/>
                <w:szCs w:val="21"/>
              </w:rPr>
            </w:pPr>
            <w:r>
              <w:rPr>
                <w:rFonts w:hint="eastAsia" w:ascii="宋体" w:hAnsi="宋体" w:cs="宋体"/>
                <w:b/>
                <w:bCs/>
                <w:kern w:val="0"/>
                <w:sz w:val="21"/>
                <w:szCs w:val="21"/>
              </w:rPr>
              <w:t>商务</w:t>
            </w:r>
          </w:p>
          <w:p>
            <w:pPr>
              <w:widowControl/>
              <w:jc w:val="center"/>
              <w:rPr>
                <w:rFonts w:ascii="宋体" w:hAnsi="宋体" w:cs="宋体"/>
                <w:b/>
                <w:bCs/>
                <w:kern w:val="0"/>
                <w:sz w:val="21"/>
                <w:szCs w:val="21"/>
              </w:rPr>
            </w:pPr>
            <w:r>
              <w:rPr>
                <w:rFonts w:hint="eastAsia" w:ascii="宋体" w:hAnsi="宋体" w:cs="宋体"/>
                <w:b/>
                <w:bCs/>
                <w:kern w:val="0"/>
                <w:sz w:val="21"/>
                <w:szCs w:val="21"/>
              </w:rPr>
              <w:t>部分</w:t>
            </w:r>
          </w:p>
          <w:p>
            <w:pPr>
              <w:widowControl/>
              <w:jc w:val="center"/>
              <w:rPr>
                <w:rFonts w:ascii="宋体" w:hAnsi="宋体" w:cs="宋体"/>
                <w:b/>
                <w:bCs/>
                <w:kern w:val="0"/>
                <w:sz w:val="21"/>
                <w:szCs w:val="21"/>
              </w:rPr>
            </w:pPr>
            <w:r>
              <w:rPr>
                <w:rFonts w:hint="eastAsia" w:ascii="宋体" w:hAnsi="宋体" w:cs="宋体"/>
                <w:b/>
                <w:bCs/>
                <w:kern w:val="0"/>
                <w:sz w:val="21"/>
                <w:szCs w:val="21"/>
              </w:rPr>
              <w:t>(20%)</w:t>
            </w:r>
          </w:p>
        </w:tc>
        <w:tc>
          <w:tcPr>
            <w:tcW w:w="106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信息安全管理认证（3）</w:t>
            </w:r>
          </w:p>
        </w:tc>
        <w:tc>
          <w:tcPr>
            <w:tcW w:w="5427" w:type="dxa"/>
            <w:noWrap w:val="0"/>
            <w:vAlign w:val="center"/>
          </w:tcPr>
          <w:p>
            <w:pPr>
              <w:spacing w:line="276" w:lineRule="auto"/>
              <w:ind w:firstLine="399" w:firstLineChars="190"/>
              <w:rPr>
                <w:rFonts w:hint="eastAsia" w:ascii="宋体" w:hAnsi="宋体"/>
                <w:sz w:val="21"/>
                <w:szCs w:val="21"/>
              </w:rPr>
            </w:pPr>
            <w:r>
              <w:rPr>
                <w:rFonts w:hint="eastAsia" w:ascii="宋体" w:hAnsi="宋体"/>
                <w:sz w:val="21"/>
                <w:szCs w:val="21"/>
              </w:rPr>
              <w:t>投标人通过“ISO/IEC 27001:2013”信息安全管理体系认证,且认证范围须与医疗健康信息系统软硬件开发、信息系统集成和数据应用服务相关。符合的得3分，不符合或不提供的得0分。</w:t>
            </w:r>
          </w:p>
        </w:tc>
        <w:tc>
          <w:tcPr>
            <w:tcW w:w="1771" w:type="dxa"/>
            <w:noWrap w:val="0"/>
            <w:vAlign w:val="center"/>
          </w:tcPr>
          <w:p>
            <w:pPr>
              <w:spacing w:line="276" w:lineRule="auto"/>
              <w:rPr>
                <w:rFonts w:hint="eastAsia" w:ascii="宋体" w:hAnsi="宋体"/>
                <w:sz w:val="21"/>
                <w:szCs w:val="21"/>
              </w:rPr>
            </w:pPr>
            <w:r>
              <w:rPr>
                <w:rFonts w:hint="eastAsia" w:ascii="宋体" w:hAnsi="宋体"/>
                <w:sz w:val="21"/>
                <w:szCs w:val="21"/>
              </w:rPr>
              <w:t>以投标文件中提供加盖鲜章的相应证书复印件为准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9" w:type="dxa"/>
            <w:vMerge w:val="continue"/>
            <w:noWrap w:val="0"/>
            <w:vAlign w:val="center"/>
          </w:tcPr>
          <w:p>
            <w:pPr>
              <w:rPr>
                <w:rFonts w:ascii="宋体" w:hAnsi="宋体"/>
                <w:sz w:val="21"/>
                <w:szCs w:val="21"/>
              </w:rPr>
            </w:pPr>
          </w:p>
        </w:tc>
        <w:tc>
          <w:tcPr>
            <w:tcW w:w="106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系统安全认证（5）</w:t>
            </w:r>
          </w:p>
        </w:tc>
        <w:tc>
          <w:tcPr>
            <w:tcW w:w="5427" w:type="dxa"/>
            <w:noWrap w:val="0"/>
            <w:vAlign w:val="center"/>
          </w:tcPr>
          <w:p>
            <w:pPr>
              <w:spacing w:line="276" w:lineRule="auto"/>
              <w:ind w:firstLine="399" w:firstLineChars="190"/>
              <w:rPr>
                <w:rFonts w:hint="eastAsia" w:ascii="宋体" w:hAnsi="宋体"/>
                <w:sz w:val="21"/>
                <w:szCs w:val="21"/>
              </w:rPr>
            </w:pPr>
            <w:r>
              <w:rPr>
                <w:rFonts w:hint="eastAsia" w:ascii="宋体" w:hAnsi="宋体"/>
                <w:sz w:val="21"/>
                <w:szCs w:val="21"/>
              </w:rPr>
              <w:t>投标人的“互联网医院信息平台”产品通过信息系统安全等级保护第三级测评，提供信息系统安全等级保护备案证明的得5分，不提供得0分。</w:t>
            </w:r>
          </w:p>
        </w:tc>
        <w:tc>
          <w:tcPr>
            <w:tcW w:w="1771" w:type="dxa"/>
            <w:noWrap w:val="0"/>
            <w:vAlign w:val="center"/>
          </w:tcPr>
          <w:p>
            <w:pPr>
              <w:rPr>
                <w:rFonts w:ascii="宋体" w:hAnsi="宋体"/>
                <w:sz w:val="21"/>
                <w:szCs w:val="21"/>
              </w:rPr>
            </w:pPr>
            <w:r>
              <w:rPr>
                <w:rFonts w:hint="eastAsia" w:ascii="宋体" w:hAnsi="宋体"/>
                <w:sz w:val="21"/>
                <w:szCs w:val="21"/>
              </w:rPr>
              <w:t>以投标文件中提供加盖鲜章的相应证书复印件为准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9" w:type="dxa"/>
            <w:vMerge w:val="continue"/>
            <w:noWrap w:val="0"/>
            <w:vAlign w:val="center"/>
          </w:tcPr>
          <w:p>
            <w:pPr>
              <w:rPr>
                <w:rFonts w:ascii="宋体" w:hAnsi="宋体"/>
                <w:sz w:val="21"/>
                <w:szCs w:val="21"/>
              </w:rPr>
            </w:pPr>
          </w:p>
        </w:tc>
        <w:tc>
          <w:tcPr>
            <w:tcW w:w="106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售后服务和质保期（2）</w:t>
            </w:r>
          </w:p>
        </w:tc>
        <w:tc>
          <w:tcPr>
            <w:tcW w:w="5427" w:type="dxa"/>
            <w:noWrap w:val="0"/>
            <w:vAlign w:val="center"/>
          </w:tcPr>
          <w:p>
            <w:pPr>
              <w:spacing w:line="276" w:lineRule="auto"/>
              <w:ind w:firstLine="399" w:firstLineChars="190"/>
              <w:rPr>
                <w:rFonts w:hint="eastAsia" w:ascii="宋体" w:hAnsi="宋体"/>
                <w:sz w:val="21"/>
                <w:szCs w:val="21"/>
              </w:rPr>
            </w:pPr>
            <w:r>
              <w:rPr>
                <w:rFonts w:hint="eastAsia" w:ascii="宋体" w:hAnsi="宋体"/>
                <w:sz w:val="21"/>
                <w:szCs w:val="21"/>
              </w:rPr>
              <w:t>提供详尽、合理的售后服务计划，对服务的方式、现场的支持、服务报告、服务等级、质量保证期等因素综合评价，投标方案横向对比，优得2分，良得1分，差得0分。</w:t>
            </w:r>
          </w:p>
        </w:tc>
        <w:tc>
          <w:tcPr>
            <w:tcW w:w="1771" w:type="dxa"/>
            <w:noWrap w:val="0"/>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19" w:type="dxa"/>
            <w:vMerge w:val="continue"/>
            <w:noWrap w:val="0"/>
            <w:vAlign w:val="center"/>
          </w:tcPr>
          <w:p>
            <w:pPr>
              <w:rPr>
                <w:rFonts w:ascii="宋体" w:hAnsi="宋体"/>
                <w:sz w:val="21"/>
                <w:szCs w:val="21"/>
              </w:rPr>
            </w:pPr>
          </w:p>
        </w:tc>
        <w:tc>
          <w:tcPr>
            <w:tcW w:w="1067" w:type="dxa"/>
            <w:noWrap w:val="0"/>
            <w:vAlign w:val="center"/>
          </w:tcPr>
          <w:p>
            <w:pPr>
              <w:jc w:val="center"/>
              <w:rPr>
                <w:rFonts w:hint="eastAsia" w:ascii="方正仿宋_GBK" w:hAnsi="宋体" w:eastAsia="方正仿宋_GBK"/>
                <w:color w:val="auto"/>
                <w:sz w:val="21"/>
                <w:szCs w:val="21"/>
              </w:rPr>
            </w:pPr>
            <w:r>
              <w:rPr>
                <w:rFonts w:hint="eastAsia" w:ascii="方正仿宋_GBK" w:hAnsi="宋体" w:eastAsia="方正仿宋_GBK"/>
                <w:color w:val="auto"/>
                <w:sz w:val="21"/>
                <w:szCs w:val="21"/>
                <w:lang w:val="en-US" w:eastAsia="zh-CN"/>
              </w:rPr>
              <w:t>1小时抵达现场能力</w:t>
            </w:r>
            <w:r>
              <w:rPr>
                <w:rFonts w:hint="eastAsia" w:ascii="方正仿宋_GBK" w:hAnsi="宋体" w:eastAsia="方正仿宋_GBK"/>
                <w:color w:val="auto"/>
                <w:sz w:val="21"/>
                <w:szCs w:val="21"/>
              </w:rPr>
              <w:t>（5）</w:t>
            </w:r>
          </w:p>
        </w:tc>
        <w:tc>
          <w:tcPr>
            <w:tcW w:w="5427" w:type="dxa"/>
            <w:noWrap w:val="0"/>
            <w:vAlign w:val="center"/>
          </w:tcPr>
          <w:p>
            <w:pPr>
              <w:numPr>
                <w:ilvl w:val="0"/>
                <w:numId w:val="0"/>
              </w:numPr>
              <w:spacing w:line="276" w:lineRule="auto"/>
              <w:ind w:left="251" w:leftChars="0"/>
              <w:rPr>
                <w:rFonts w:hint="eastAsia" w:ascii="宋体" w:hAnsi="宋体"/>
                <w:color w:val="auto"/>
                <w:sz w:val="21"/>
                <w:szCs w:val="21"/>
                <w:lang w:val="en-US" w:eastAsia="zh-CN"/>
              </w:rPr>
            </w:pPr>
            <w:r>
              <w:rPr>
                <w:rFonts w:hint="eastAsia" w:ascii="宋体" w:hAnsi="宋体"/>
                <w:color w:val="auto"/>
                <w:sz w:val="21"/>
                <w:szCs w:val="21"/>
              </w:rPr>
              <w:t>投标人</w:t>
            </w:r>
            <w:r>
              <w:rPr>
                <w:rFonts w:hint="eastAsia" w:ascii="宋体" w:hAnsi="宋体"/>
                <w:color w:val="auto"/>
                <w:sz w:val="21"/>
                <w:szCs w:val="21"/>
                <w:lang w:eastAsia="zh-CN"/>
              </w:rPr>
              <w:t>具有</w:t>
            </w:r>
            <w:r>
              <w:rPr>
                <w:rFonts w:hint="eastAsia" w:ascii="宋体" w:hAnsi="宋体"/>
                <w:color w:val="auto"/>
                <w:sz w:val="21"/>
                <w:szCs w:val="21"/>
                <w:lang w:val="en-US" w:eastAsia="zh-CN"/>
              </w:rPr>
              <w:t>1小时内到达采购人招标地点的服务能力：</w:t>
            </w:r>
          </w:p>
          <w:p>
            <w:pPr>
              <w:numPr>
                <w:ilvl w:val="0"/>
                <w:numId w:val="19"/>
              </w:numPr>
              <w:spacing w:line="276" w:lineRule="auto"/>
              <w:ind w:left="-148" w:leftChars="0" w:firstLine="399" w:firstLineChars="0"/>
              <w:rPr>
                <w:rFonts w:hint="eastAsia" w:ascii="宋体" w:hAnsi="宋体"/>
                <w:color w:val="auto"/>
                <w:sz w:val="21"/>
                <w:szCs w:val="21"/>
              </w:rPr>
            </w:pPr>
            <w:r>
              <w:rPr>
                <w:rFonts w:hint="eastAsia" w:ascii="宋体" w:hAnsi="宋体"/>
                <w:color w:val="auto"/>
                <w:sz w:val="21"/>
                <w:szCs w:val="21"/>
              </w:rPr>
              <w:t>有独立法人资格的技术服务机构的得2分，没有不得分；</w:t>
            </w:r>
          </w:p>
          <w:p>
            <w:pPr>
              <w:numPr>
                <w:ilvl w:val="0"/>
                <w:numId w:val="19"/>
              </w:numPr>
              <w:spacing w:line="276" w:lineRule="auto"/>
              <w:ind w:left="-148" w:leftChars="0" w:firstLine="399" w:firstLineChars="0"/>
              <w:rPr>
                <w:rFonts w:hint="eastAsia" w:ascii="宋体" w:hAnsi="宋体"/>
                <w:color w:val="auto"/>
                <w:sz w:val="21"/>
                <w:szCs w:val="21"/>
              </w:rPr>
            </w:pPr>
            <w:r>
              <w:rPr>
                <w:rFonts w:hint="eastAsia" w:ascii="宋体" w:hAnsi="宋体"/>
                <w:color w:val="auto"/>
                <w:sz w:val="21"/>
                <w:szCs w:val="21"/>
                <w:lang w:eastAsia="zh-CN"/>
              </w:rPr>
              <w:t>该机构内的</w:t>
            </w:r>
            <w:r>
              <w:rPr>
                <w:rFonts w:hint="eastAsia" w:ascii="宋体" w:hAnsi="宋体"/>
                <w:color w:val="auto"/>
                <w:sz w:val="21"/>
                <w:szCs w:val="21"/>
              </w:rPr>
              <w:t>员工人数在30人以上（含）得3分；10人以上（含）得1分，10人以下不得分。</w:t>
            </w:r>
          </w:p>
        </w:tc>
        <w:tc>
          <w:tcPr>
            <w:tcW w:w="1771" w:type="dxa"/>
            <w:noWrap w:val="0"/>
            <w:vAlign w:val="center"/>
          </w:tcPr>
          <w:p>
            <w:pPr>
              <w:rPr>
                <w:rFonts w:ascii="宋体" w:hAnsi="宋体"/>
                <w:sz w:val="21"/>
                <w:szCs w:val="21"/>
              </w:rPr>
            </w:pPr>
            <w:r>
              <w:rPr>
                <w:rFonts w:hint="eastAsia" w:ascii="宋体" w:hAnsi="宋体"/>
                <w:sz w:val="21"/>
                <w:szCs w:val="21"/>
              </w:rPr>
              <w:t>投标人须提供在渝工商注册证明和近三个月在渝为员工缴纳社保的证明材料（原件备查）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19" w:type="dxa"/>
            <w:vMerge w:val="continue"/>
            <w:noWrap w:val="0"/>
            <w:vAlign w:val="center"/>
          </w:tcPr>
          <w:p>
            <w:pPr>
              <w:jc w:val="center"/>
              <w:rPr>
                <w:rFonts w:ascii="宋体" w:hAnsi="宋体" w:cs="宋体"/>
                <w:sz w:val="24"/>
                <w:szCs w:val="24"/>
              </w:rPr>
            </w:pPr>
          </w:p>
        </w:tc>
        <w:tc>
          <w:tcPr>
            <w:tcW w:w="106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企业案例（5）</w:t>
            </w:r>
          </w:p>
        </w:tc>
        <w:tc>
          <w:tcPr>
            <w:tcW w:w="5427" w:type="dxa"/>
            <w:noWrap w:val="0"/>
            <w:vAlign w:val="center"/>
          </w:tcPr>
          <w:p>
            <w:pPr>
              <w:spacing w:line="276" w:lineRule="auto"/>
              <w:ind w:firstLine="399" w:firstLineChars="190"/>
              <w:rPr>
                <w:rFonts w:hint="eastAsia" w:ascii="宋体" w:hAnsi="宋体"/>
                <w:sz w:val="21"/>
                <w:szCs w:val="21"/>
              </w:rPr>
            </w:pPr>
            <w:r>
              <w:rPr>
                <w:rFonts w:hint="eastAsia" w:ascii="宋体" w:hAnsi="宋体"/>
                <w:sz w:val="21"/>
                <w:szCs w:val="21"/>
              </w:rPr>
              <w:t>1、近三年实施过大型医疗软件项目，合同金额100万以上每个得2分，最多得4分。</w:t>
            </w:r>
          </w:p>
          <w:p>
            <w:pPr>
              <w:spacing w:line="276" w:lineRule="auto"/>
              <w:ind w:firstLine="399" w:firstLineChars="190"/>
              <w:rPr>
                <w:rFonts w:hint="eastAsia" w:ascii="宋体" w:hAnsi="宋体"/>
                <w:sz w:val="21"/>
                <w:szCs w:val="21"/>
              </w:rPr>
            </w:pPr>
            <w:r>
              <w:rPr>
                <w:rFonts w:hint="eastAsia" w:ascii="宋体" w:hAnsi="宋体"/>
                <w:sz w:val="21"/>
                <w:szCs w:val="21"/>
              </w:rPr>
              <w:t>2、近三年有三甲医院软件项目实施案例每个得1分，最多得3分。</w:t>
            </w:r>
          </w:p>
          <w:p>
            <w:pPr>
              <w:spacing w:line="276" w:lineRule="auto"/>
              <w:ind w:firstLine="399" w:firstLineChars="190"/>
              <w:rPr>
                <w:rFonts w:hint="eastAsia" w:ascii="宋体" w:hAnsi="宋体"/>
                <w:sz w:val="21"/>
                <w:szCs w:val="21"/>
              </w:rPr>
            </w:pPr>
            <w:r>
              <w:rPr>
                <w:rFonts w:hint="eastAsia" w:ascii="宋体" w:hAnsi="宋体"/>
                <w:sz w:val="21"/>
                <w:szCs w:val="21"/>
              </w:rPr>
              <w:t>3、近三年实施过其他医疗软件项目每个得0.5分，最多得3分。</w:t>
            </w:r>
          </w:p>
        </w:tc>
        <w:tc>
          <w:tcPr>
            <w:tcW w:w="1771" w:type="dxa"/>
            <w:noWrap w:val="0"/>
            <w:vAlign w:val="center"/>
          </w:tcPr>
          <w:p>
            <w:pPr>
              <w:rPr>
                <w:rFonts w:hint="eastAsia" w:ascii="宋体" w:hAnsi="宋体"/>
                <w:sz w:val="21"/>
                <w:szCs w:val="21"/>
              </w:rPr>
            </w:pPr>
            <w:r>
              <w:rPr>
                <w:rFonts w:hint="eastAsia" w:ascii="宋体" w:hAnsi="宋体"/>
                <w:sz w:val="21"/>
                <w:szCs w:val="21"/>
              </w:rPr>
              <w:t>以加盖鲜章的字迹清晰的合同复印件为准，且提供合同采购方的联系人及电话供现场核实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19" w:type="dxa"/>
            <w:vMerge w:val="restart"/>
            <w:noWrap w:val="0"/>
            <w:vAlign w:val="center"/>
          </w:tcPr>
          <w:p>
            <w:pPr>
              <w:widowControl/>
              <w:jc w:val="center"/>
              <w:rPr>
                <w:rFonts w:hint="eastAsia" w:ascii="宋体" w:hAnsi="宋体" w:cs="宋体"/>
                <w:b/>
                <w:bCs/>
                <w:kern w:val="0"/>
                <w:sz w:val="21"/>
                <w:szCs w:val="21"/>
              </w:rPr>
            </w:pPr>
            <w:r>
              <w:rPr>
                <w:rFonts w:hint="eastAsia" w:ascii="宋体" w:hAnsi="宋体" w:cs="宋体"/>
                <w:b/>
                <w:bCs/>
                <w:kern w:val="0"/>
                <w:sz w:val="21"/>
                <w:szCs w:val="21"/>
              </w:rPr>
              <w:t>3.</w:t>
            </w:r>
          </w:p>
          <w:p>
            <w:pPr>
              <w:widowControl/>
              <w:jc w:val="center"/>
              <w:rPr>
                <w:rFonts w:hint="eastAsia" w:ascii="宋体" w:hAnsi="宋体" w:cs="宋体"/>
                <w:b/>
                <w:bCs/>
                <w:kern w:val="0"/>
                <w:sz w:val="21"/>
                <w:szCs w:val="21"/>
              </w:rPr>
            </w:pPr>
            <w:r>
              <w:rPr>
                <w:rFonts w:hint="eastAsia" w:ascii="宋体" w:hAnsi="宋体" w:cs="宋体"/>
                <w:b/>
                <w:bCs/>
                <w:kern w:val="0"/>
                <w:sz w:val="21"/>
                <w:szCs w:val="21"/>
              </w:rPr>
              <w:t>技术部分</w:t>
            </w:r>
          </w:p>
          <w:p>
            <w:pPr>
              <w:widowControl/>
              <w:jc w:val="center"/>
              <w:rPr>
                <w:rFonts w:hint="eastAsia" w:ascii="宋体" w:hAnsi="宋体"/>
                <w:sz w:val="21"/>
                <w:szCs w:val="21"/>
              </w:rPr>
            </w:pPr>
            <w:r>
              <w:rPr>
                <w:rFonts w:hint="eastAsia" w:ascii="宋体" w:hAnsi="宋体" w:cs="宋体"/>
                <w:b/>
                <w:bCs/>
                <w:kern w:val="0"/>
                <w:sz w:val="21"/>
                <w:szCs w:val="21"/>
              </w:rPr>
              <w:t>(60%)</w:t>
            </w:r>
          </w:p>
        </w:tc>
        <w:tc>
          <w:tcPr>
            <w:tcW w:w="106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技术方案</w:t>
            </w:r>
          </w:p>
          <w:p>
            <w:pPr>
              <w:jc w:val="center"/>
              <w:rPr>
                <w:rFonts w:hint="eastAsia" w:ascii="方正仿宋_GBK" w:hAnsi="宋体" w:eastAsia="方正仿宋_GBK"/>
                <w:sz w:val="21"/>
                <w:szCs w:val="21"/>
              </w:rPr>
            </w:pPr>
            <w:r>
              <w:rPr>
                <w:rFonts w:hint="eastAsia" w:ascii="方正仿宋_GBK" w:hAnsi="宋体" w:eastAsia="方正仿宋_GBK"/>
                <w:sz w:val="21"/>
                <w:szCs w:val="21"/>
              </w:rPr>
              <w:t>（30）</w:t>
            </w:r>
          </w:p>
        </w:tc>
        <w:tc>
          <w:tcPr>
            <w:tcW w:w="5427" w:type="dxa"/>
            <w:noWrap w:val="0"/>
            <w:vAlign w:val="center"/>
          </w:tcPr>
          <w:p>
            <w:pPr>
              <w:spacing w:line="276" w:lineRule="auto"/>
              <w:ind w:firstLine="399" w:firstLineChars="190"/>
              <w:rPr>
                <w:rFonts w:hint="eastAsia" w:ascii="宋体" w:hAnsi="宋体"/>
                <w:sz w:val="21"/>
                <w:szCs w:val="21"/>
              </w:rPr>
            </w:pPr>
            <w:r>
              <w:rPr>
                <w:rFonts w:hint="eastAsia" w:ascii="宋体" w:hAnsi="宋体"/>
                <w:sz w:val="21"/>
                <w:szCs w:val="21"/>
              </w:rPr>
              <w:t>投标方案是否具备完整合理的设计，主要包括但不限于：（1）业务需求分析；（2）总体架构设计；（3）整体技术解决方案。对投标方方案横向对比，优得20-30分，良得10-19分，一般得4-9分，差得0分。</w:t>
            </w:r>
          </w:p>
        </w:tc>
        <w:tc>
          <w:tcPr>
            <w:tcW w:w="1771" w:type="dxa"/>
            <w:noWrap w:val="0"/>
            <w:vAlign w:val="center"/>
          </w:tcPr>
          <w:p>
            <w:pPr>
              <w:spacing w:line="276" w:lineRule="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19" w:type="dxa"/>
            <w:vMerge w:val="continue"/>
            <w:noWrap w:val="0"/>
            <w:vAlign w:val="center"/>
          </w:tcPr>
          <w:p>
            <w:pPr>
              <w:spacing w:line="276" w:lineRule="auto"/>
              <w:rPr>
                <w:rFonts w:hint="eastAsia" w:ascii="宋体" w:hAnsi="宋体"/>
                <w:sz w:val="21"/>
                <w:szCs w:val="21"/>
              </w:rPr>
            </w:pPr>
          </w:p>
        </w:tc>
        <w:tc>
          <w:tcPr>
            <w:tcW w:w="1067" w:type="dxa"/>
            <w:noWrap w:val="0"/>
            <w:vAlign w:val="center"/>
          </w:tcPr>
          <w:p>
            <w:pPr>
              <w:jc w:val="center"/>
              <w:rPr>
                <w:rFonts w:hint="eastAsia" w:ascii="方正仿宋_GBK" w:hAnsi="宋体" w:eastAsia="方正仿宋_GBK"/>
                <w:sz w:val="21"/>
                <w:szCs w:val="21"/>
              </w:rPr>
            </w:pPr>
            <w:r>
              <w:rPr>
                <w:rFonts w:hint="eastAsia" w:ascii="方正仿宋_GBK" w:hAnsi="宋体" w:eastAsia="方正仿宋_GBK"/>
                <w:sz w:val="21"/>
                <w:szCs w:val="21"/>
              </w:rPr>
              <w:t>技术参数满足度</w:t>
            </w:r>
          </w:p>
          <w:p>
            <w:pPr>
              <w:jc w:val="center"/>
              <w:rPr>
                <w:rFonts w:hint="eastAsia" w:ascii="宋体" w:hAnsi="宋体"/>
                <w:sz w:val="21"/>
                <w:szCs w:val="21"/>
              </w:rPr>
            </w:pPr>
            <w:r>
              <w:rPr>
                <w:rFonts w:hint="eastAsia" w:ascii="方正仿宋_GBK" w:hAnsi="宋体" w:eastAsia="方正仿宋_GBK"/>
                <w:sz w:val="21"/>
                <w:szCs w:val="21"/>
              </w:rPr>
              <w:t>（20）</w:t>
            </w:r>
          </w:p>
        </w:tc>
        <w:tc>
          <w:tcPr>
            <w:tcW w:w="5427" w:type="dxa"/>
            <w:noWrap w:val="0"/>
            <w:vAlign w:val="center"/>
          </w:tcPr>
          <w:p>
            <w:pPr>
              <w:spacing w:line="276" w:lineRule="auto"/>
              <w:ind w:firstLine="399" w:firstLineChars="190"/>
              <w:rPr>
                <w:rFonts w:hint="eastAsia" w:ascii="宋体" w:hAnsi="宋体"/>
                <w:sz w:val="21"/>
                <w:szCs w:val="21"/>
                <w:lang w:val="zh-CN"/>
              </w:rPr>
            </w:pPr>
            <w:r>
              <w:rPr>
                <w:rFonts w:hint="eastAsia" w:ascii="宋体" w:hAnsi="宋体"/>
                <w:sz w:val="21"/>
                <w:szCs w:val="21"/>
                <w:lang w:val="zh-CN"/>
              </w:rPr>
              <w:t>1、一般性技术参数（非★号标注的部分）达不到招标文件要求的,每负偏离一条扣</w:t>
            </w:r>
            <w:r>
              <w:rPr>
                <w:rFonts w:hint="eastAsia" w:ascii="宋体" w:hAnsi="宋体"/>
                <w:sz w:val="21"/>
                <w:szCs w:val="21"/>
              </w:rPr>
              <w:t>1</w:t>
            </w:r>
            <w:r>
              <w:rPr>
                <w:rFonts w:hint="eastAsia" w:ascii="宋体" w:hAnsi="宋体"/>
                <w:sz w:val="21"/>
                <w:szCs w:val="21"/>
                <w:lang w:val="zh-CN"/>
              </w:rPr>
              <w:t>分，扣完为止；</w:t>
            </w:r>
          </w:p>
          <w:p>
            <w:pPr>
              <w:spacing w:line="276" w:lineRule="auto"/>
              <w:ind w:firstLine="399" w:firstLineChars="190"/>
              <w:rPr>
                <w:rFonts w:hint="eastAsia" w:ascii="宋体" w:hAnsi="宋体"/>
                <w:sz w:val="21"/>
                <w:szCs w:val="21"/>
              </w:rPr>
            </w:pPr>
            <w:r>
              <w:rPr>
                <w:rFonts w:hint="eastAsia" w:ascii="宋体" w:hAnsi="宋体"/>
                <w:sz w:val="21"/>
                <w:szCs w:val="21"/>
                <w:lang w:val="zh-CN"/>
              </w:rPr>
              <w:t>2、</w:t>
            </w:r>
            <w:r>
              <w:rPr>
                <w:rFonts w:hint="eastAsia" w:ascii="宋体" w:hAnsi="宋体"/>
                <w:sz w:val="21"/>
                <w:szCs w:val="21"/>
              </w:rPr>
              <w:t>带有★的项为基本要求，每项不能满足扣5分，直到扣完技术总分（即60分）为止。</w:t>
            </w:r>
          </w:p>
          <w:p>
            <w:pPr>
              <w:spacing w:line="276" w:lineRule="auto"/>
              <w:ind w:firstLine="399" w:firstLineChars="190"/>
              <w:rPr>
                <w:rFonts w:hint="eastAsia" w:ascii="宋体" w:hAnsi="宋体"/>
                <w:sz w:val="21"/>
                <w:szCs w:val="21"/>
              </w:rPr>
            </w:pPr>
            <w:r>
              <w:rPr>
                <w:rFonts w:hint="eastAsia" w:ascii="宋体" w:hAnsi="宋体"/>
                <w:sz w:val="21"/>
                <w:szCs w:val="21"/>
              </w:rPr>
              <w:t>注：加★号的技术参数，以提供技术实现的方案及截图、评委认为可以实现为准。</w:t>
            </w:r>
          </w:p>
        </w:tc>
        <w:tc>
          <w:tcPr>
            <w:tcW w:w="1771" w:type="dxa"/>
            <w:noWrap w:val="0"/>
            <w:vAlign w:val="center"/>
          </w:tcPr>
          <w:p>
            <w:pPr>
              <w:spacing w:line="276" w:lineRule="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19" w:type="dxa"/>
            <w:vMerge w:val="continue"/>
            <w:noWrap w:val="0"/>
            <w:vAlign w:val="center"/>
          </w:tcPr>
          <w:p>
            <w:pPr>
              <w:spacing w:line="276" w:lineRule="auto"/>
              <w:rPr>
                <w:rFonts w:hint="eastAsia" w:ascii="宋体" w:hAnsi="宋体"/>
                <w:sz w:val="21"/>
                <w:szCs w:val="21"/>
              </w:rPr>
            </w:pPr>
          </w:p>
        </w:tc>
        <w:tc>
          <w:tcPr>
            <w:tcW w:w="1067" w:type="dxa"/>
            <w:noWrap w:val="0"/>
            <w:vAlign w:val="center"/>
          </w:tcPr>
          <w:p>
            <w:pPr>
              <w:spacing w:line="276" w:lineRule="auto"/>
              <w:jc w:val="center"/>
              <w:rPr>
                <w:rFonts w:hint="eastAsia" w:ascii="方正仿宋_GBK" w:hAnsi="宋体" w:eastAsia="方正仿宋_GBK"/>
                <w:sz w:val="21"/>
                <w:szCs w:val="21"/>
              </w:rPr>
            </w:pPr>
            <w:r>
              <w:rPr>
                <w:rFonts w:hint="eastAsia" w:ascii="方正仿宋_GBK" w:hAnsi="宋体" w:eastAsia="方正仿宋_GBK"/>
                <w:sz w:val="21"/>
                <w:szCs w:val="21"/>
              </w:rPr>
              <w:t>项目实施管理（5）</w:t>
            </w:r>
          </w:p>
        </w:tc>
        <w:tc>
          <w:tcPr>
            <w:tcW w:w="5427" w:type="dxa"/>
            <w:noWrap w:val="0"/>
            <w:vAlign w:val="center"/>
          </w:tcPr>
          <w:p>
            <w:pPr>
              <w:spacing w:line="276" w:lineRule="auto"/>
              <w:ind w:firstLine="399" w:firstLineChars="190"/>
              <w:rPr>
                <w:rFonts w:hint="eastAsia" w:ascii="宋体" w:hAnsi="宋体"/>
                <w:sz w:val="21"/>
                <w:szCs w:val="21"/>
              </w:rPr>
            </w:pPr>
            <w:r>
              <w:rPr>
                <w:rFonts w:hint="eastAsia" w:ascii="宋体" w:hAnsi="宋体"/>
                <w:sz w:val="21"/>
                <w:szCs w:val="21"/>
              </w:rPr>
              <w:t>有完善的项目组织实施和管理方案，整个项目的实施组织机构、人员安排、实施计划有具体方案，分工合理、责任明确，可保障施工安全及进度。投标方方案横向对比，优得4-5分，良得2-3分，一般得1分，差得0分。</w:t>
            </w:r>
          </w:p>
        </w:tc>
        <w:tc>
          <w:tcPr>
            <w:tcW w:w="1771" w:type="dxa"/>
            <w:noWrap w:val="0"/>
            <w:vAlign w:val="center"/>
          </w:tcPr>
          <w:p>
            <w:pPr>
              <w:spacing w:line="276" w:lineRule="auto"/>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19" w:type="dxa"/>
            <w:vMerge w:val="continue"/>
            <w:noWrap w:val="0"/>
            <w:vAlign w:val="center"/>
          </w:tcPr>
          <w:p>
            <w:pPr>
              <w:spacing w:line="276" w:lineRule="auto"/>
              <w:rPr>
                <w:rFonts w:hint="eastAsia" w:ascii="宋体" w:hAnsi="宋体"/>
                <w:sz w:val="21"/>
                <w:szCs w:val="21"/>
              </w:rPr>
            </w:pPr>
          </w:p>
        </w:tc>
        <w:tc>
          <w:tcPr>
            <w:tcW w:w="1067" w:type="dxa"/>
            <w:noWrap w:val="0"/>
            <w:vAlign w:val="center"/>
          </w:tcPr>
          <w:p>
            <w:pPr>
              <w:spacing w:line="276" w:lineRule="auto"/>
              <w:jc w:val="center"/>
              <w:rPr>
                <w:rFonts w:hint="eastAsia" w:ascii="方正仿宋_GBK" w:hAnsi="宋体" w:eastAsia="方正仿宋_GBK"/>
                <w:sz w:val="21"/>
                <w:szCs w:val="21"/>
              </w:rPr>
            </w:pPr>
            <w:r>
              <w:rPr>
                <w:rFonts w:hint="eastAsia" w:ascii="方正仿宋_GBK" w:hAnsi="宋体" w:eastAsia="方正仿宋_GBK"/>
                <w:sz w:val="21"/>
                <w:szCs w:val="21"/>
              </w:rPr>
              <w:t>项目培训（5）</w:t>
            </w:r>
          </w:p>
        </w:tc>
        <w:tc>
          <w:tcPr>
            <w:tcW w:w="5427" w:type="dxa"/>
            <w:noWrap w:val="0"/>
            <w:vAlign w:val="center"/>
          </w:tcPr>
          <w:p>
            <w:pPr>
              <w:spacing w:line="276" w:lineRule="auto"/>
              <w:ind w:firstLine="399" w:firstLineChars="190"/>
              <w:rPr>
                <w:rFonts w:hint="eastAsia" w:ascii="宋体" w:hAnsi="宋体"/>
                <w:sz w:val="21"/>
                <w:szCs w:val="21"/>
              </w:rPr>
            </w:pPr>
            <w:r>
              <w:rPr>
                <w:rFonts w:hint="eastAsia" w:ascii="宋体" w:hAnsi="宋体"/>
                <w:sz w:val="21"/>
                <w:szCs w:val="21"/>
              </w:rPr>
              <w:t>提供详尽的技术转移、运维支持培训计划、培训方案，内容包含培训时间安排和人员安排；方案清晰、具有可操作性。投标方方案横向对比，优得4-5分，良得2-3分，一般得1分，差得0分。</w:t>
            </w:r>
          </w:p>
        </w:tc>
        <w:tc>
          <w:tcPr>
            <w:tcW w:w="1771" w:type="dxa"/>
            <w:noWrap w:val="0"/>
            <w:vAlign w:val="center"/>
          </w:tcPr>
          <w:p>
            <w:pPr>
              <w:spacing w:line="276" w:lineRule="auto"/>
              <w:rPr>
                <w:rFonts w:hint="eastAsia" w:ascii="宋体" w:hAnsi="宋体"/>
                <w:sz w:val="21"/>
                <w:szCs w:val="21"/>
              </w:rPr>
            </w:pPr>
          </w:p>
        </w:tc>
      </w:tr>
    </w:tbl>
    <w:p>
      <w:pPr>
        <w:snapToGrid w:val="0"/>
        <w:spacing w:line="276" w:lineRule="auto"/>
        <w:ind w:firstLine="482" w:firstLineChars="200"/>
        <w:rPr>
          <w:rFonts w:hint="eastAsia" w:ascii="宋体" w:hAnsi="宋体"/>
          <w:b/>
          <w:color w:val="auto"/>
          <w:sz w:val="24"/>
          <w:szCs w:val="24"/>
        </w:rPr>
      </w:pPr>
    </w:p>
    <w:p>
      <w:pPr>
        <w:snapToGrid w:val="0"/>
        <w:spacing w:line="276" w:lineRule="auto"/>
        <w:ind w:firstLine="465"/>
        <w:rPr>
          <w:rFonts w:hint="eastAsia" w:ascii="宋体" w:hAnsi="宋体"/>
          <w:color w:val="auto"/>
          <w:sz w:val="24"/>
          <w:szCs w:val="24"/>
        </w:rPr>
      </w:pPr>
      <w:bookmarkStart w:id="36" w:name="_Toc441065676"/>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说明：评标小组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snapToGrid w:val="0"/>
        <w:spacing w:line="276" w:lineRule="auto"/>
        <w:ind w:firstLine="480" w:firstLineChars="200"/>
        <w:rPr>
          <w:rFonts w:hint="eastAsia" w:ascii="宋体" w:hAnsi="宋体"/>
          <w:color w:val="auto"/>
          <w:sz w:val="24"/>
          <w:szCs w:val="24"/>
        </w:rPr>
      </w:pP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（二）报价政策性扣减</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1、关于小微企业：</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按&lt;关于印发《政府采购促进中小企业发展暂行办法》的通知&gt;（财库〔2011〕181号）之规定，中小企业的标准为：</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1.1提供本企业制造的货物、承担的工程或者服务，或者提供其他中小企业制造的货物，不包括提供或使用大型企业注册商标的货物。</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1.2本规定所称中小企业划分标准按照《工业和信息化部、国家统计局、国家发展和改革委员会、财政部关于印发中小企业划型标准规定的通知》（工信部联企业〔2011〕300号）执行。若投标人认为本企业符合中小企业划分标准，且提供的标的物为本企业制造的货物、承担的工程或服务，须如实填写《中小微企业声明函》。若提供了其他企业制造的货物，且该企业符合《关于印发中小企业划型标准规定的通知》（工信部联企业〔2011〕300号）规定的中小企业划分标准的，还须提供制造商的《中小微企业声明函》原件（涉及多个制造商的，每个制造商均需出具）。中标的小微企业在评审过程中按照政府采购政策享受了报价扣除的，将在结果公告中公告企业类型。</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1.3小型、微型企业提供有中型企业制造的货物的，视同为中型企业；小型、微型、中型企业提供有大型企业制造的货物的，视同为大型企业。</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2、具体投标报价扣除比例说明：</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2.1投标人为非联合体投标的，对小型企业给予6%的扣除，微型企业给予8%的扣除（注册资金十五万及以下的微型企业给予10%的扣除），以扣除后的报价参与评审。</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2.2监狱企业、残疾人福利性单位属于微型企业的，应提供《中小微企业声明函》。未提供以上资料的监狱企业、残疾人福利性单位视同小型企业。</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备注：1、中标的小微企业在评审过程中按照政府采购政策享受了报价扣除的，将在结果公告中公告企业类型。</w:t>
      </w:r>
    </w:p>
    <w:p>
      <w:pPr>
        <w:snapToGrid w:val="0"/>
        <w:spacing w:line="276" w:lineRule="auto"/>
        <w:ind w:firstLine="465"/>
        <w:rPr>
          <w:rFonts w:hint="eastAsia" w:ascii="宋体" w:hAnsi="宋体"/>
          <w:color w:val="auto"/>
          <w:sz w:val="24"/>
          <w:szCs w:val="24"/>
        </w:rPr>
      </w:pPr>
      <w:r>
        <w:rPr>
          <w:rFonts w:hint="eastAsia" w:ascii="宋体" w:hAnsi="宋体"/>
          <w:color w:val="auto"/>
          <w:sz w:val="24"/>
          <w:szCs w:val="24"/>
        </w:rPr>
        <w:t>2、对于未如实填写《中小微企业声明函》的供应商，一经查实，将按政府采购法律法规进行处理。</w:t>
      </w:r>
    </w:p>
    <w:p>
      <w:pPr>
        <w:rPr>
          <w:rFonts w:ascii="宋体"/>
          <w:color w:val="auto"/>
        </w:rPr>
      </w:pPr>
      <w:r>
        <w:rPr>
          <w:rFonts w:ascii="宋体"/>
          <w:color w:val="auto"/>
        </w:rPr>
        <w:t>三、</w:t>
      </w:r>
      <w:bookmarkEnd w:id="36"/>
      <w:r>
        <w:rPr>
          <w:rFonts w:ascii="宋体"/>
          <w:color w:val="auto"/>
        </w:rPr>
        <w:t>供应商或其响应文件出现下列情况之一者，应为无效：</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（一）供应商未按磋商文件规定提交磋商保证金的；</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（二）供应商法定代表人或法人授权代表未按时参加磋商的；</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（三）供应商未通过资格性检查或磋商文件未通过符合性检查的；</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（四）报价超出招标文件规定的采购预算的（设定最高限价的不得超过最高限价）；</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（五）供应商超出其营业执照或事业单位法人证书上经营范围（业务范围）参与磋商的；</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（六）单位负责人为同一人或者存在直接控股、管理关系的不同供应商，参加同一合同项下的政府采购活动；</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（七）为采购项目提供整体设计、规范编制或者项目管理、监理、检测等服务的供应商，再参加该采购项目的其他采购活动的；</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（八）响应文件未按照磋商文件第六篇磋商文件格式中所规定签字、盖章的；</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（九）响应文件出现多个方案或报价的；</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（十）响应文件含有采购人不能接受的附加条件的；</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（十一）供应商组成联合体参与磋商的（拒绝联合体磋商时适用）；</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（十二）供应商串通投标的；</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（十三）法律、法规和磋商文件规定的其他无效情形。</w:t>
      </w:r>
    </w:p>
    <w:p>
      <w:pPr>
        <w:rPr>
          <w:rFonts w:hint="eastAsia" w:ascii="宋体"/>
          <w:color w:val="auto"/>
          <w:sz w:val="24"/>
          <w:szCs w:val="24"/>
        </w:rPr>
      </w:pPr>
      <w:bookmarkStart w:id="37" w:name="_Toc441065677"/>
      <w:r>
        <w:rPr>
          <w:rFonts w:hint="eastAsia" w:ascii="宋体"/>
          <w:b/>
          <w:color w:val="auto"/>
          <w:sz w:val="24"/>
          <w:szCs w:val="24"/>
        </w:rPr>
        <w:t>四、</w:t>
      </w:r>
      <w:bookmarkEnd w:id="37"/>
      <w:r>
        <w:rPr>
          <w:rFonts w:hint="eastAsia" w:ascii="宋体"/>
          <w:color w:val="auto"/>
          <w:sz w:val="24"/>
          <w:szCs w:val="24"/>
        </w:rPr>
        <w:t>磋商小组评审时出现以下情况之一的，应当终止竞争性磋商采购活动：</w:t>
      </w:r>
    </w:p>
    <w:p>
      <w:pPr>
        <w:numPr>
          <w:ilvl w:val="0"/>
          <w:numId w:val="20"/>
        </w:num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符合专业条件的供应商或者对磋商文件作实质响应的供应商不足三家的；</w:t>
      </w:r>
    </w:p>
    <w:p>
      <w:pPr>
        <w:numPr>
          <w:ilvl w:val="0"/>
          <w:numId w:val="20"/>
        </w:num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提交最后报价的供应商不足三家的（市场竞争不充分的科研项目，以及需要扶持的科技成果转化项目应为供应商不足二家的）；</w:t>
      </w:r>
    </w:p>
    <w:p>
      <w:pPr>
        <w:numPr>
          <w:ilvl w:val="0"/>
          <w:numId w:val="20"/>
        </w:num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供应商的报价均超过了采购预算（设定最高限价的不得超过最高限价），采购人不能支付的；</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（四）出现影响采购公正的违法、违规行为的；</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（五）因重大变故，采购任务取消的。</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竞争性磋商活动终止后，除采购任务取消情形外，应当重新组织采购。</w:t>
      </w:r>
    </w:p>
    <w:p>
      <w:pPr>
        <w:pStyle w:val="2"/>
        <w:spacing w:before="0" w:beforeLines="0" w:after="0" w:afterLines="0" w:line="276" w:lineRule="auto"/>
        <w:rPr>
          <w:rFonts w:hint="eastAsia" w:ascii="宋体" w:hAnsi="宋体" w:eastAsia="宋体"/>
          <w:color w:val="auto"/>
        </w:rPr>
      </w:pPr>
      <w:r>
        <w:rPr>
          <w:rFonts w:hint="eastAsia" w:ascii="宋体" w:hAnsi="宋体" w:eastAsia="宋体"/>
          <w:color w:val="auto"/>
          <w:sz w:val="28"/>
        </w:rPr>
        <w:br w:type="page"/>
      </w:r>
      <w:bookmarkStart w:id="38" w:name="_Toc17411"/>
      <w:r>
        <w:rPr>
          <w:rFonts w:hint="eastAsia" w:ascii="宋体" w:hAnsi="宋体" w:eastAsia="宋体"/>
          <w:color w:val="auto"/>
        </w:rPr>
        <w:t>第四篇  供应商须知</w:t>
      </w:r>
      <w:bookmarkEnd w:id="38"/>
    </w:p>
    <w:p>
      <w:pPr>
        <w:pStyle w:val="3"/>
        <w:spacing w:line="276" w:lineRule="auto"/>
        <w:ind w:firstLine="482" w:firstLineChars="200"/>
        <w:rPr>
          <w:rFonts w:hint="eastAsia"/>
          <w:b/>
          <w:color w:val="auto"/>
          <w:sz w:val="24"/>
        </w:rPr>
      </w:pPr>
      <w:bookmarkStart w:id="39" w:name="_Toc441065679"/>
      <w:bookmarkStart w:id="40" w:name="_Toc10767"/>
      <w:r>
        <w:rPr>
          <w:rFonts w:hint="eastAsia"/>
          <w:b/>
          <w:color w:val="auto"/>
          <w:sz w:val="24"/>
        </w:rPr>
        <w:t>一、</w:t>
      </w:r>
      <w:bookmarkEnd w:id="39"/>
      <w:r>
        <w:rPr>
          <w:rFonts w:hint="eastAsia"/>
          <w:b/>
          <w:color w:val="auto"/>
          <w:sz w:val="24"/>
        </w:rPr>
        <w:t>供应商</w:t>
      </w:r>
      <w:bookmarkEnd w:id="40"/>
    </w:p>
    <w:p>
      <w:pPr>
        <w:snapToGrid w:val="0"/>
        <w:spacing w:line="276" w:lineRule="auto"/>
        <w:ind w:firstLine="480" w:firstLineChars="200"/>
        <w:rPr>
          <w:rFonts w:hint="eastAsia" w:ascii="宋体" w:hAnsi="宋体"/>
          <w:color w:val="auto"/>
          <w:sz w:val="24"/>
        </w:rPr>
      </w:pPr>
      <w:r>
        <w:rPr>
          <w:rFonts w:hint="eastAsia" w:ascii="宋体" w:hAnsi="宋体"/>
          <w:color w:val="auto"/>
          <w:sz w:val="24"/>
        </w:rPr>
        <w:t>1、合格供应商条件</w:t>
      </w:r>
    </w:p>
    <w:p>
      <w:pPr>
        <w:snapToGrid w:val="0"/>
        <w:spacing w:line="276" w:lineRule="auto"/>
        <w:ind w:firstLine="480" w:firstLineChars="200"/>
        <w:rPr>
          <w:rFonts w:hint="eastAsia" w:ascii="宋体" w:hAnsi="宋体"/>
          <w:color w:val="auto"/>
          <w:sz w:val="24"/>
        </w:rPr>
      </w:pPr>
      <w:r>
        <w:rPr>
          <w:rFonts w:hint="eastAsia" w:ascii="宋体" w:hAnsi="宋体"/>
          <w:color w:val="auto"/>
          <w:sz w:val="24"/>
        </w:rPr>
        <w:t>合格供应商应完全符合磋商文件第一篇中规定的供应商资格条件，并对磋商文件作出实质性响应。</w:t>
      </w:r>
    </w:p>
    <w:p>
      <w:pPr>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2、供应商的风险</w:t>
      </w:r>
    </w:p>
    <w:p>
      <w:pPr>
        <w:snapToGrid w:val="0"/>
        <w:spacing w:line="276" w:lineRule="auto"/>
        <w:ind w:firstLine="480" w:firstLineChars="200"/>
        <w:rPr>
          <w:rFonts w:hint="eastAsia" w:ascii="宋体" w:hAnsi="宋体"/>
          <w:color w:val="auto"/>
          <w:sz w:val="24"/>
        </w:rPr>
      </w:pPr>
      <w:r>
        <w:rPr>
          <w:rFonts w:hint="eastAsia" w:ascii="宋体" w:hAnsi="宋体"/>
          <w:color w:val="auto"/>
          <w:sz w:val="24"/>
        </w:rPr>
        <w:t>供应商没有按照磋商文件要求提供全部资料，或者供应商没有对磋商文件在各方面作出实质性响应，可能导致拒绝参与磋商或评定为无效。</w:t>
      </w:r>
    </w:p>
    <w:p>
      <w:pPr>
        <w:pStyle w:val="3"/>
        <w:spacing w:line="276" w:lineRule="auto"/>
        <w:ind w:firstLine="482" w:firstLineChars="200"/>
        <w:rPr>
          <w:rFonts w:hint="eastAsia"/>
          <w:b/>
          <w:color w:val="auto"/>
          <w:sz w:val="24"/>
        </w:rPr>
      </w:pPr>
      <w:bookmarkStart w:id="41" w:name="_Toc5072"/>
      <w:bookmarkStart w:id="42" w:name="_Toc441065680"/>
      <w:r>
        <w:rPr>
          <w:rFonts w:hint="eastAsia"/>
          <w:b/>
          <w:color w:val="auto"/>
          <w:sz w:val="24"/>
        </w:rPr>
        <w:t>二、磋商文件</w:t>
      </w:r>
      <w:bookmarkEnd w:id="41"/>
      <w:bookmarkEnd w:id="42"/>
    </w:p>
    <w:p>
      <w:pPr>
        <w:snapToGrid w:val="0"/>
        <w:spacing w:line="276" w:lineRule="auto"/>
        <w:ind w:firstLine="480" w:firstLineChars="200"/>
        <w:rPr>
          <w:rFonts w:hint="eastAsia" w:ascii="宋体" w:hAnsi="宋体"/>
          <w:color w:val="auto"/>
          <w:sz w:val="24"/>
        </w:rPr>
      </w:pPr>
      <w:r>
        <w:rPr>
          <w:rFonts w:hint="eastAsia" w:ascii="宋体" w:hAnsi="宋体"/>
          <w:color w:val="auto"/>
          <w:sz w:val="24"/>
        </w:rPr>
        <w:t>磋商文件是供应商编制响应文件的依据，是磋商小组评判依据和标准。磋商文件也是采购人与成交供应商签订合同的基础。</w:t>
      </w:r>
    </w:p>
    <w:p>
      <w:pPr>
        <w:snapToGrid w:val="0"/>
        <w:spacing w:line="276" w:lineRule="auto"/>
        <w:ind w:firstLine="480" w:firstLineChars="200"/>
        <w:rPr>
          <w:rFonts w:hint="eastAsia" w:ascii="宋体" w:hAnsi="宋体"/>
          <w:color w:val="auto"/>
          <w:sz w:val="24"/>
        </w:rPr>
      </w:pPr>
      <w:r>
        <w:rPr>
          <w:rFonts w:hint="eastAsia" w:ascii="宋体" w:hAnsi="宋体"/>
          <w:color w:val="auto"/>
          <w:sz w:val="24"/>
        </w:rPr>
        <w:t>（一）磋商文件由竞争性磋商邀请书；项目具体要求；评审程序、评审方法和评审标准；供应商须知；合同主要条款和格式合同样本；响应文件格式等六部分组成。</w:t>
      </w:r>
    </w:p>
    <w:p>
      <w:pPr>
        <w:snapToGrid w:val="0"/>
        <w:spacing w:line="276" w:lineRule="auto"/>
        <w:ind w:firstLine="480"/>
        <w:rPr>
          <w:rFonts w:hint="eastAsia" w:ascii="宋体" w:hAnsi="宋体"/>
          <w:color w:val="auto"/>
          <w:sz w:val="24"/>
        </w:rPr>
      </w:pPr>
      <w:r>
        <w:rPr>
          <w:rFonts w:hint="eastAsia" w:ascii="宋体" w:hAnsi="宋体"/>
          <w:color w:val="auto"/>
          <w:sz w:val="24"/>
          <w:szCs w:val="28"/>
        </w:rPr>
        <w:t>（二）</w:t>
      </w:r>
      <w:r>
        <w:rPr>
          <w:rFonts w:hint="eastAsia" w:ascii="宋体" w:hAnsi="宋体"/>
          <w:color w:val="auto"/>
          <w:sz w:val="24"/>
        </w:rPr>
        <w:t>采购人对磋商文件所作的一切有效的书面通知、修改及补充，都是磋商文件不可分割的部分。</w:t>
      </w:r>
    </w:p>
    <w:p>
      <w:pPr>
        <w:snapToGrid w:val="0"/>
        <w:spacing w:line="276" w:lineRule="auto"/>
        <w:ind w:firstLine="480"/>
        <w:rPr>
          <w:rFonts w:hint="eastAsia" w:ascii="宋体" w:hAnsi="宋体"/>
          <w:color w:val="auto"/>
          <w:sz w:val="24"/>
        </w:rPr>
      </w:pPr>
      <w:r>
        <w:rPr>
          <w:rFonts w:hint="eastAsia" w:ascii="宋体" w:hAnsi="宋体"/>
          <w:color w:val="auto"/>
          <w:sz w:val="24"/>
        </w:rPr>
        <w:t>（三）采购人对磋商文件所作的一切有效的通知、补遗、澄清或修改（以网上公示内容为准），都是磋商文件不可分割的部分。</w:t>
      </w:r>
    </w:p>
    <w:p>
      <w:pPr>
        <w:snapToGrid w:val="0"/>
        <w:spacing w:line="276" w:lineRule="auto"/>
        <w:ind w:firstLine="480"/>
        <w:rPr>
          <w:rFonts w:hint="eastAsia" w:ascii="宋体" w:hAnsi="宋体"/>
          <w:color w:val="auto"/>
          <w:sz w:val="24"/>
        </w:rPr>
      </w:pPr>
      <w:r>
        <w:rPr>
          <w:rFonts w:hint="eastAsia" w:ascii="宋体" w:hAnsi="宋体"/>
          <w:color w:val="auto"/>
          <w:sz w:val="24"/>
        </w:rPr>
        <w:t>（四）本项目所有补遗文件（包含澄清或者修改文件）一律在</w:t>
      </w:r>
      <w:r>
        <w:rPr>
          <w:rFonts w:hint="eastAsia" w:ascii="宋体" w:hAnsi="宋体"/>
          <w:color w:val="auto"/>
          <w:sz w:val="24"/>
          <w:szCs w:val="24"/>
        </w:rPr>
        <w:t>重庆市第九人民医院官网</w:t>
      </w:r>
      <w:r>
        <w:rPr>
          <w:rFonts w:hint="eastAsia" w:ascii="宋体" w:hAnsi="宋体"/>
          <w:color w:val="auto"/>
          <w:sz w:val="24"/>
        </w:rPr>
        <w:t>发布，请各供应商注意下载，</w:t>
      </w:r>
      <w:r>
        <w:rPr>
          <w:rFonts w:hint="eastAsia" w:ascii="宋体" w:hAnsi="宋体"/>
          <w:color w:val="auto"/>
          <w:sz w:val="24"/>
          <w:szCs w:val="24"/>
        </w:rPr>
        <w:t>无论供应商下载与否，均视同供应商已知晓本项目磋商文件、补遗文件的内容</w:t>
      </w:r>
      <w:r>
        <w:rPr>
          <w:rFonts w:hint="eastAsia" w:ascii="宋体" w:hAnsi="宋体"/>
          <w:color w:val="auto"/>
          <w:sz w:val="24"/>
        </w:rPr>
        <w:t>。</w:t>
      </w:r>
    </w:p>
    <w:p>
      <w:pPr>
        <w:pStyle w:val="3"/>
        <w:spacing w:line="276" w:lineRule="auto"/>
        <w:ind w:firstLine="482" w:firstLineChars="200"/>
        <w:rPr>
          <w:rFonts w:hint="eastAsia"/>
          <w:b/>
          <w:color w:val="auto"/>
          <w:sz w:val="24"/>
        </w:rPr>
      </w:pPr>
      <w:bookmarkStart w:id="43" w:name="_Toc441065681"/>
      <w:bookmarkStart w:id="44" w:name="_Toc6163"/>
      <w:r>
        <w:rPr>
          <w:rFonts w:hint="eastAsia"/>
          <w:b/>
          <w:color w:val="auto"/>
          <w:sz w:val="24"/>
        </w:rPr>
        <w:t>三、响应文件</w:t>
      </w:r>
      <w:bookmarkEnd w:id="43"/>
      <w:bookmarkEnd w:id="44"/>
    </w:p>
    <w:p>
      <w:pPr>
        <w:spacing w:line="276" w:lineRule="auto"/>
        <w:ind w:firstLine="480" w:firstLineChars="200"/>
        <w:rPr>
          <w:rFonts w:hint="eastAsia" w:ascii="宋体" w:hAnsi="宋体"/>
          <w:color w:val="auto"/>
          <w:sz w:val="24"/>
        </w:rPr>
      </w:pPr>
      <w:r>
        <w:rPr>
          <w:rFonts w:hint="eastAsia" w:ascii="宋体" w:hAnsi="宋体"/>
          <w:color w:val="auto"/>
          <w:sz w:val="24"/>
        </w:rPr>
        <w:t>供应商应当按照磋商文件的要求编制响应文件，并对磋商文件提出的要求和条件作出实质性响应，响应文件原则上采用软面订本，同时应编制完整的页码、目录。</w:t>
      </w:r>
    </w:p>
    <w:p>
      <w:pPr>
        <w:spacing w:line="276" w:lineRule="auto"/>
        <w:ind w:firstLine="480" w:firstLineChars="200"/>
        <w:rPr>
          <w:rFonts w:hint="eastAsia" w:ascii="宋体" w:hAnsi="宋体"/>
          <w:color w:val="auto"/>
          <w:sz w:val="24"/>
        </w:rPr>
      </w:pPr>
      <w:r>
        <w:rPr>
          <w:rFonts w:hint="eastAsia" w:ascii="宋体" w:hAnsi="宋体"/>
          <w:color w:val="auto"/>
          <w:sz w:val="24"/>
        </w:rPr>
        <w:t>（一）响应文件组成</w:t>
      </w:r>
    </w:p>
    <w:p>
      <w:pPr>
        <w:spacing w:line="276" w:lineRule="auto"/>
        <w:ind w:firstLine="480" w:firstLineChars="200"/>
        <w:rPr>
          <w:rFonts w:hint="eastAsia" w:ascii="宋体" w:hAnsi="宋体"/>
          <w:color w:val="auto"/>
          <w:sz w:val="24"/>
        </w:rPr>
      </w:pPr>
      <w:r>
        <w:rPr>
          <w:rFonts w:hint="eastAsia" w:ascii="宋体" w:hAnsi="宋体"/>
          <w:color w:val="auto"/>
          <w:sz w:val="24"/>
        </w:rPr>
        <w:t>响应文件由第六篇“响应文件格式”规定的部分和供应商所作的一切有效补充、修改和承诺等文件组成，供应商应按照第六篇“响应文件格式”规定的目录顺序组织编写和装订，否则有可能影响磋商小组对响应文件的评审。</w:t>
      </w:r>
    </w:p>
    <w:p>
      <w:pPr>
        <w:spacing w:line="276" w:lineRule="auto"/>
        <w:ind w:firstLine="480" w:firstLineChars="200"/>
        <w:rPr>
          <w:rFonts w:hint="eastAsia" w:ascii="宋体" w:hAnsi="宋体"/>
          <w:color w:val="auto"/>
          <w:sz w:val="24"/>
        </w:rPr>
      </w:pPr>
      <w:r>
        <w:rPr>
          <w:rFonts w:hint="eastAsia" w:ascii="宋体" w:hAnsi="宋体"/>
          <w:color w:val="auto"/>
          <w:sz w:val="24"/>
        </w:rPr>
        <w:t>（二）联合参与磋商</w:t>
      </w:r>
    </w:p>
    <w:p>
      <w:pPr>
        <w:spacing w:line="276" w:lineRule="auto"/>
        <w:ind w:firstLine="482" w:firstLineChars="200"/>
        <w:rPr>
          <w:rFonts w:hint="eastAsia" w:ascii="宋体" w:hAnsi="宋体" w:cs="方正仿宋_GBK"/>
          <w:b/>
          <w:bCs/>
          <w:color w:val="auto"/>
          <w:sz w:val="24"/>
          <w:szCs w:val="24"/>
          <w:u w:val="single"/>
        </w:rPr>
      </w:pPr>
      <w:r>
        <w:rPr>
          <w:rFonts w:hint="eastAsia" w:ascii="宋体" w:hAnsi="宋体" w:cs="方正仿宋_GBK"/>
          <w:b/>
          <w:bCs/>
          <w:color w:val="auto"/>
          <w:sz w:val="24"/>
          <w:szCs w:val="24"/>
          <w:u w:val="single"/>
        </w:rPr>
        <w:t>本项目不支持联合体投标</w:t>
      </w:r>
    </w:p>
    <w:p>
      <w:pPr>
        <w:spacing w:line="276" w:lineRule="auto"/>
        <w:ind w:firstLine="480" w:firstLineChars="200"/>
        <w:rPr>
          <w:rFonts w:hint="eastAsia" w:ascii="宋体" w:hAnsi="宋体"/>
          <w:color w:val="auto"/>
          <w:sz w:val="24"/>
        </w:rPr>
      </w:pPr>
      <w:r>
        <w:rPr>
          <w:rFonts w:hint="eastAsia" w:ascii="宋体" w:hAnsi="宋体"/>
          <w:color w:val="auto"/>
          <w:sz w:val="24"/>
        </w:rPr>
        <w:t>（三）响应文件有效期</w:t>
      </w:r>
    </w:p>
    <w:p>
      <w:pPr>
        <w:spacing w:line="276" w:lineRule="auto"/>
        <w:ind w:firstLine="480" w:firstLineChars="200"/>
        <w:rPr>
          <w:rFonts w:hint="eastAsia" w:ascii="宋体" w:hAnsi="宋体"/>
          <w:color w:val="auto"/>
          <w:sz w:val="24"/>
        </w:rPr>
      </w:pPr>
      <w:r>
        <w:rPr>
          <w:rFonts w:hint="eastAsia" w:ascii="宋体" w:hAnsi="宋体"/>
          <w:color w:val="auto"/>
          <w:sz w:val="24"/>
        </w:rPr>
        <w:t>响应文件有效期为响应文件提交截止日期后九十天内。</w:t>
      </w:r>
    </w:p>
    <w:p>
      <w:pPr>
        <w:spacing w:line="276" w:lineRule="auto"/>
        <w:ind w:firstLine="480" w:firstLineChars="200"/>
        <w:rPr>
          <w:rFonts w:hint="eastAsia" w:ascii="宋体" w:hAnsi="宋体"/>
          <w:color w:val="auto"/>
          <w:sz w:val="24"/>
        </w:rPr>
      </w:pPr>
      <w:r>
        <w:rPr>
          <w:rFonts w:hint="eastAsia" w:ascii="宋体" w:hAnsi="宋体"/>
          <w:color w:val="auto"/>
          <w:sz w:val="24"/>
        </w:rPr>
        <w:t>（四）磋商保证金</w:t>
      </w:r>
    </w:p>
    <w:p>
      <w:pPr>
        <w:tabs>
          <w:tab w:val="left" w:pos="0"/>
        </w:tabs>
        <w:snapToGrid w:val="0"/>
        <w:spacing w:line="276" w:lineRule="auto"/>
        <w:ind w:firstLine="480" w:firstLineChars="200"/>
        <w:rPr>
          <w:rFonts w:hint="eastAsia" w:ascii="宋体" w:hAnsi="宋体"/>
          <w:color w:val="auto"/>
          <w:sz w:val="24"/>
        </w:rPr>
      </w:pPr>
      <w:r>
        <w:rPr>
          <w:rFonts w:hint="eastAsia" w:ascii="宋体" w:hAnsi="宋体"/>
          <w:color w:val="auto"/>
          <w:sz w:val="24"/>
        </w:rPr>
        <w:t>1、供应商应在响应文件提交截止时间前，按磋商文件第一篇规定缴纳磋商保证金。</w:t>
      </w:r>
    </w:p>
    <w:p>
      <w:pPr>
        <w:tabs>
          <w:tab w:val="left" w:pos="0"/>
        </w:tabs>
        <w:spacing w:line="276" w:lineRule="auto"/>
        <w:ind w:firstLine="480" w:firstLineChars="200"/>
        <w:rPr>
          <w:rFonts w:hint="eastAsia" w:ascii="宋体" w:hAnsi="宋体"/>
          <w:color w:val="auto"/>
          <w:sz w:val="24"/>
        </w:rPr>
      </w:pPr>
      <w:r>
        <w:rPr>
          <w:rFonts w:hint="eastAsia" w:ascii="宋体" w:hAnsi="宋体"/>
          <w:color w:val="auto"/>
          <w:sz w:val="24"/>
        </w:rPr>
        <w:t>2、磋商保证金为磋商的有效约束条件。</w:t>
      </w:r>
    </w:p>
    <w:p>
      <w:pPr>
        <w:tabs>
          <w:tab w:val="left" w:pos="0"/>
        </w:tabs>
        <w:spacing w:line="276" w:lineRule="auto"/>
        <w:ind w:firstLine="480" w:firstLineChars="200"/>
        <w:rPr>
          <w:rFonts w:hint="eastAsia" w:ascii="宋体" w:hAnsi="宋体"/>
          <w:color w:val="auto"/>
          <w:sz w:val="24"/>
        </w:rPr>
      </w:pPr>
      <w:r>
        <w:rPr>
          <w:rFonts w:hint="eastAsia" w:ascii="宋体" w:hAnsi="宋体"/>
          <w:color w:val="auto"/>
          <w:sz w:val="24"/>
        </w:rPr>
        <w:t>3、磋商保证金的有效期限在响应文件有效期过后三十天内继续有效。</w:t>
      </w:r>
    </w:p>
    <w:p>
      <w:pPr>
        <w:tabs>
          <w:tab w:val="left" w:pos="0"/>
        </w:tabs>
        <w:spacing w:line="276" w:lineRule="auto"/>
        <w:ind w:firstLine="480" w:firstLineChars="200"/>
        <w:rPr>
          <w:rFonts w:hint="eastAsia" w:ascii="宋体" w:hAnsi="宋体"/>
          <w:color w:val="auto"/>
          <w:sz w:val="24"/>
        </w:rPr>
      </w:pPr>
      <w:r>
        <w:rPr>
          <w:rFonts w:hint="eastAsia" w:ascii="宋体" w:hAnsi="宋体"/>
          <w:color w:val="auto"/>
          <w:sz w:val="24"/>
        </w:rPr>
        <w:t>4、磋商保证金币种应与响应文件中报价币种相同。</w:t>
      </w:r>
    </w:p>
    <w:p>
      <w:pPr>
        <w:tabs>
          <w:tab w:val="left" w:pos="0"/>
        </w:tabs>
        <w:spacing w:line="276" w:lineRule="auto"/>
        <w:ind w:firstLine="480" w:firstLineChars="200"/>
        <w:rPr>
          <w:rFonts w:hint="eastAsia" w:ascii="宋体" w:hAnsi="宋体"/>
          <w:color w:val="auto"/>
          <w:sz w:val="24"/>
        </w:rPr>
      </w:pPr>
      <w:r>
        <w:rPr>
          <w:rFonts w:hint="eastAsia" w:ascii="宋体" w:hAnsi="宋体"/>
          <w:color w:val="auto"/>
          <w:sz w:val="24"/>
        </w:rPr>
        <w:t>5、采购人在《成交通知书》发出后五个工作日内无息退还未成交供应商的磋商保证金；在采购合同签订后五个工作日无息退还成交供应商的磋商保证金。</w:t>
      </w:r>
    </w:p>
    <w:p>
      <w:pPr>
        <w:tabs>
          <w:tab w:val="left" w:pos="0"/>
        </w:tabs>
        <w:spacing w:line="276" w:lineRule="auto"/>
        <w:ind w:firstLine="480" w:firstLineChars="200"/>
        <w:rPr>
          <w:rFonts w:hint="eastAsia" w:ascii="宋体" w:hAnsi="宋体"/>
          <w:color w:val="auto"/>
          <w:sz w:val="24"/>
        </w:rPr>
      </w:pPr>
      <w:r>
        <w:rPr>
          <w:rFonts w:hint="eastAsia" w:ascii="宋体" w:hAnsi="宋体"/>
          <w:color w:val="auto"/>
          <w:sz w:val="24"/>
        </w:rPr>
        <w:t>6、供应商有下列情形之一的，经监督部门和采购人确认属实，磋商保证金将不予退还，由采购代理机构上缴国库：</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（1）供应商在提交响应文件截止时间后撤回响应文件的；</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（2）供应商在响应文件中提供虚假材料的；</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（3）除因不可抗力或竞争性磋商文件认可的情形以外，成交供应商不与采购人签订合同的；</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（4）供应商与采购人、其他供应商或者采购代理机构恶意串通的；</w:t>
      </w:r>
    </w:p>
    <w:p>
      <w:pPr>
        <w:spacing w:line="276" w:lineRule="auto"/>
        <w:ind w:firstLine="480" w:firstLineChars="200"/>
        <w:rPr>
          <w:rFonts w:hint="eastAsia" w:ascii="宋体" w:hAnsi="宋体"/>
          <w:color w:val="auto"/>
          <w:sz w:val="24"/>
          <w:szCs w:val="24"/>
        </w:rPr>
      </w:pPr>
      <w:r>
        <w:rPr>
          <w:rFonts w:hint="eastAsia" w:ascii="宋体" w:hAnsi="宋体"/>
          <w:color w:val="auto"/>
          <w:sz w:val="24"/>
          <w:szCs w:val="24"/>
        </w:rPr>
        <w:t>（5）成交供应商不按规定的时间或拒绝按成交状态签订合同（即不按照采购文件确定的合同文本以及采购标的、规格型号、采购金额、采购数量、技术和服务要求等事项签订政府采购合同的。）。</w:t>
      </w:r>
    </w:p>
    <w:p>
      <w:pPr>
        <w:snapToGrid w:val="0"/>
        <w:spacing w:line="276" w:lineRule="auto"/>
        <w:ind w:firstLine="470" w:firstLineChars="196"/>
        <w:jc w:val="left"/>
        <w:rPr>
          <w:rFonts w:hint="eastAsia" w:ascii="宋体" w:hAnsi="宋体"/>
          <w:bCs/>
          <w:color w:val="auto"/>
          <w:sz w:val="24"/>
        </w:rPr>
      </w:pPr>
      <w:r>
        <w:rPr>
          <w:rFonts w:hint="eastAsia" w:ascii="宋体" w:hAnsi="宋体"/>
          <w:bCs/>
          <w:color w:val="auto"/>
          <w:sz w:val="24"/>
        </w:rPr>
        <w:t>（五）响应文件的份数和签署</w:t>
      </w:r>
    </w:p>
    <w:p>
      <w:pPr>
        <w:tabs>
          <w:tab w:val="left" w:pos="0"/>
        </w:tabs>
        <w:spacing w:line="276" w:lineRule="auto"/>
        <w:ind w:firstLine="480" w:firstLineChars="200"/>
        <w:rPr>
          <w:rFonts w:hint="eastAsia" w:ascii="宋体" w:hAnsi="宋体"/>
          <w:color w:val="auto"/>
          <w:sz w:val="24"/>
        </w:rPr>
      </w:pPr>
      <w:r>
        <w:rPr>
          <w:rFonts w:hint="eastAsia" w:ascii="宋体" w:hAnsi="宋体"/>
          <w:color w:val="auto"/>
          <w:sz w:val="24"/>
        </w:rPr>
        <w:t>1、响应文件一式二份，其中正本一份，副本一份。每套纸质响应文件须在封面清楚地标明“正本”或“副本”，副本应为正本的完整复印件，副本与正本不一致时以正本为准。</w:t>
      </w:r>
    </w:p>
    <w:p>
      <w:pPr>
        <w:tabs>
          <w:tab w:val="left" w:pos="0"/>
        </w:tabs>
        <w:spacing w:line="276" w:lineRule="auto"/>
        <w:ind w:firstLine="480" w:firstLineChars="200"/>
        <w:rPr>
          <w:rFonts w:hint="eastAsia" w:ascii="宋体" w:hAnsi="宋体"/>
          <w:color w:val="auto"/>
          <w:sz w:val="24"/>
        </w:rPr>
      </w:pPr>
      <w:r>
        <w:rPr>
          <w:rFonts w:hint="eastAsia" w:ascii="宋体" w:hAnsi="宋体"/>
          <w:color w:val="auto"/>
          <w:sz w:val="24"/>
        </w:rPr>
        <w:t>2、在磋商文件第六篇响应文件格式中规定签字、盖章的地方必须按其规定签字、盖章。</w:t>
      </w:r>
    </w:p>
    <w:p>
      <w:pPr>
        <w:tabs>
          <w:tab w:val="left" w:pos="0"/>
        </w:tabs>
        <w:spacing w:line="276" w:lineRule="auto"/>
        <w:ind w:firstLine="480" w:firstLineChars="200"/>
        <w:rPr>
          <w:rFonts w:hint="eastAsia" w:ascii="宋体" w:hAnsi="宋体"/>
          <w:color w:val="auto"/>
          <w:sz w:val="24"/>
        </w:rPr>
      </w:pPr>
      <w:r>
        <w:rPr>
          <w:rFonts w:hint="eastAsia" w:ascii="宋体" w:hAnsi="宋体"/>
          <w:color w:val="auto"/>
          <w:sz w:val="24"/>
        </w:rPr>
        <w:t>3、若供应商对响应文件的错处作必要修改，则应在修改处加盖供应商公章或由</w:t>
      </w:r>
      <w:r>
        <w:rPr>
          <w:rFonts w:hint="eastAsia" w:ascii="宋体" w:hAnsi="宋体"/>
          <w:color w:val="auto"/>
          <w:sz w:val="24"/>
          <w:szCs w:val="28"/>
        </w:rPr>
        <w:t>法定代表人</w:t>
      </w:r>
      <w:r>
        <w:rPr>
          <w:rFonts w:hint="eastAsia" w:ascii="宋体" w:hAnsi="宋体"/>
          <w:color w:val="auto"/>
          <w:sz w:val="24"/>
        </w:rPr>
        <w:t>或</w:t>
      </w:r>
      <w:r>
        <w:rPr>
          <w:rFonts w:hint="eastAsia" w:ascii="宋体" w:hAnsi="宋体"/>
          <w:color w:val="auto"/>
          <w:sz w:val="24"/>
          <w:szCs w:val="28"/>
        </w:rPr>
        <w:t>法定代表人</w:t>
      </w:r>
      <w:r>
        <w:rPr>
          <w:rFonts w:hint="eastAsia" w:ascii="宋体" w:hAnsi="宋体"/>
          <w:color w:val="auto"/>
          <w:sz w:val="24"/>
        </w:rPr>
        <w:t>授权代表签字确认。</w:t>
      </w:r>
    </w:p>
    <w:p>
      <w:pPr>
        <w:snapToGrid w:val="0"/>
        <w:spacing w:line="276" w:lineRule="auto"/>
        <w:ind w:firstLine="470" w:firstLineChars="196"/>
        <w:jc w:val="left"/>
        <w:rPr>
          <w:rFonts w:hint="eastAsia" w:ascii="宋体" w:hAnsi="宋体"/>
          <w:color w:val="auto"/>
          <w:sz w:val="24"/>
        </w:rPr>
      </w:pPr>
      <w:r>
        <w:rPr>
          <w:rFonts w:hint="eastAsia" w:ascii="宋体" w:hAnsi="宋体"/>
          <w:color w:val="auto"/>
          <w:sz w:val="24"/>
        </w:rPr>
        <w:t>4、电报、电话、传真形式的响应文件概不接受。</w:t>
      </w:r>
    </w:p>
    <w:p>
      <w:pPr>
        <w:snapToGrid w:val="0"/>
        <w:spacing w:line="276" w:lineRule="auto"/>
        <w:ind w:firstLine="470" w:firstLineChars="196"/>
        <w:jc w:val="left"/>
        <w:rPr>
          <w:rFonts w:hint="eastAsia" w:ascii="宋体" w:hAnsi="宋体"/>
          <w:bCs/>
          <w:color w:val="auto"/>
          <w:sz w:val="24"/>
        </w:rPr>
      </w:pPr>
      <w:r>
        <w:rPr>
          <w:rFonts w:hint="eastAsia" w:ascii="宋体" w:hAnsi="宋体"/>
          <w:bCs/>
          <w:color w:val="auto"/>
          <w:sz w:val="24"/>
        </w:rPr>
        <w:t>（六）报价</w:t>
      </w:r>
    </w:p>
    <w:p>
      <w:pPr>
        <w:snapToGrid w:val="0"/>
        <w:spacing w:line="276" w:lineRule="auto"/>
        <w:ind w:firstLine="470" w:firstLineChars="196"/>
        <w:jc w:val="left"/>
        <w:rPr>
          <w:rFonts w:hint="eastAsia" w:ascii="宋体" w:hAnsi="宋体"/>
          <w:color w:val="auto"/>
          <w:sz w:val="24"/>
        </w:rPr>
      </w:pPr>
      <w:r>
        <w:rPr>
          <w:rFonts w:hint="eastAsia" w:ascii="宋体" w:hAnsi="宋体"/>
          <w:bCs/>
          <w:color w:val="auto"/>
          <w:sz w:val="24"/>
        </w:rPr>
        <w:t>1、供应商应严格按照“响应文件格式”中“报价一览表”和“分项报价明细表”</w:t>
      </w:r>
      <w:r>
        <w:rPr>
          <w:rFonts w:hint="eastAsia" w:ascii="宋体" w:hAnsi="宋体"/>
          <w:color w:val="auto"/>
          <w:sz w:val="24"/>
        </w:rPr>
        <w:t>的格式填写报价。</w:t>
      </w:r>
    </w:p>
    <w:p>
      <w:pPr>
        <w:snapToGrid w:val="0"/>
        <w:spacing w:line="276" w:lineRule="auto"/>
        <w:ind w:left="3" w:leftChars="1" w:firstLine="480" w:firstLineChars="200"/>
        <w:rPr>
          <w:rFonts w:hint="eastAsia" w:ascii="宋体" w:hAnsi="宋体"/>
          <w:color w:val="auto"/>
          <w:sz w:val="24"/>
        </w:rPr>
      </w:pPr>
      <w:r>
        <w:rPr>
          <w:rFonts w:hint="eastAsia" w:ascii="宋体" w:hAnsi="宋体"/>
          <w:color w:val="auto"/>
          <w:sz w:val="24"/>
        </w:rPr>
        <w:t>2、供应商的报价为一次性报价，即在响应文件有效期内报价固定不变。</w:t>
      </w:r>
    </w:p>
    <w:p>
      <w:pPr>
        <w:snapToGrid w:val="0"/>
        <w:spacing w:line="276" w:lineRule="auto"/>
        <w:ind w:left="3" w:leftChars="1" w:firstLine="480" w:firstLineChars="200"/>
        <w:rPr>
          <w:rFonts w:hint="eastAsia" w:ascii="宋体" w:hAnsi="宋体"/>
          <w:color w:val="auto"/>
          <w:sz w:val="24"/>
        </w:rPr>
      </w:pPr>
      <w:r>
        <w:rPr>
          <w:rFonts w:hint="eastAsia" w:ascii="宋体" w:hAnsi="宋体"/>
          <w:color w:val="auto"/>
          <w:sz w:val="24"/>
        </w:rPr>
        <w:t>3、本项目只接受一个报价，有选择的或有条件的报价将不予接受。</w:t>
      </w:r>
    </w:p>
    <w:p>
      <w:pPr>
        <w:pStyle w:val="31"/>
        <w:spacing w:line="276" w:lineRule="auto"/>
        <w:ind w:firstLine="480" w:firstLineChars="200"/>
        <w:rPr>
          <w:rFonts w:hint="eastAsia" w:hAnsi="宋体"/>
          <w:color w:val="auto"/>
          <w:sz w:val="24"/>
        </w:rPr>
      </w:pPr>
      <w:r>
        <w:rPr>
          <w:rFonts w:hint="eastAsia" w:hAnsi="宋体"/>
          <w:color w:val="auto"/>
          <w:sz w:val="24"/>
        </w:rPr>
        <w:t>（七）修正错误</w:t>
      </w:r>
    </w:p>
    <w:p>
      <w:pPr>
        <w:pStyle w:val="31"/>
        <w:spacing w:line="276" w:lineRule="auto"/>
        <w:ind w:firstLine="480" w:firstLineChars="200"/>
        <w:rPr>
          <w:rFonts w:hint="eastAsia" w:hAnsi="宋体"/>
          <w:color w:val="auto"/>
          <w:sz w:val="24"/>
        </w:rPr>
      </w:pPr>
      <w:r>
        <w:rPr>
          <w:rFonts w:hint="eastAsia" w:hAnsi="宋体"/>
          <w:color w:val="auto"/>
          <w:sz w:val="24"/>
        </w:rPr>
        <w:t>若响应文件出现计算或表达上的错误，修正错误的原则如下：</w:t>
      </w:r>
    </w:p>
    <w:p>
      <w:pPr>
        <w:snapToGrid w:val="0"/>
        <w:spacing w:line="276" w:lineRule="auto"/>
        <w:ind w:firstLine="480" w:firstLineChars="200"/>
        <w:rPr>
          <w:rFonts w:hint="eastAsia" w:ascii="宋体" w:hAnsi="宋体"/>
          <w:color w:val="auto"/>
          <w:sz w:val="24"/>
        </w:rPr>
      </w:pPr>
      <w:r>
        <w:rPr>
          <w:rFonts w:hint="eastAsia" w:ascii="宋体" w:hAnsi="宋体"/>
          <w:color w:val="auto"/>
          <w:sz w:val="24"/>
        </w:rPr>
        <w:t>1、开标一览表总价与分项报价明细表汇总数不一致的，</w:t>
      </w:r>
      <w:r>
        <w:rPr>
          <w:rFonts w:hint="eastAsia" w:ascii="宋体" w:hAnsi="宋体" w:cs="Arial"/>
          <w:color w:val="auto"/>
          <w:kern w:val="0"/>
          <w:sz w:val="24"/>
        </w:rPr>
        <w:t>以报价一览表为准；</w:t>
      </w:r>
    </w:p>
    <w:p>
      <w:pPr>
        <w:pStyle w:val="31"/>
        <w:spacing w:line="276" w:lineRule="auto"/>
        <w:ind w:firstLine="480" w:firstLineChars="200"/>
        <w:rPr>
          <w:rFonts w:hint="eastAsia" w:hAnsi="宋体"/>
          <w:color w:val="auto"/>
          <w:sz w:val="24"/>
        </w:rPr>
      </w:pPr>
      <w:r>
        <w:rPr>
          <w:rFonts w:hint="eastAsia" w:hAnsi="宋体"/>
          <w:color w:val="auto"/>
          <w:sz w:val="24"/>
        </w:rPr>
        <w:t>2、大写金额和小写金额不一致的，以大写金额为准；</w:t>
      </w:r>
    </w:p>
    <w:p>
      <w:pPr>
        <w:pStyle w:val="31"/>
        <w:spacing w:line="276" w:lineRule="auto"/>
        <w:ind w:firstLine="480" w:firstLineChars="200"/>
        <w:rPr>
          <w:rFonts w:hint="eastAsia" w:hAnsi="宋体"/>
          <w:color w:val="auto"/>
          <w:sz w:val="24"/>
        </w:rPr>
      </w:pPr>
      <w:r>
        <w:rPr>
          <w:rFonts w:hint="eastAsia" w:hAnsi="宋体"/>
          <w:color w:val="auto"/>
          <w:sz w:val="24"/>
        </w:rPr>
        <w:t>3、总价金额与按单价汇总金额不一致的，以单价金额计算结果为准；</w:t>
      </w:r>
    </w:p>
    <w:p>
      <w:pPr>
        <w:pStyle w:val="31"/>
        <w:spacing w:line="276" w:lineRule="auto"/>
        <w:ind w:firstLine="480" w:firstLineChars="200"/>
        <w:rPr>
          <w:rFonts w:hint="eastAsia" w:hAnsi="宋体"/>
          <w:color w:val="auto"/>
          <w:sz w:val="24"/>
        </w:rPr>
      </w:pPr>
      <w:r>
        <w:rPr>
          <w:rFonts w:hint="eastAsia" w:hAnsi="宋体"/>
          <w:color w:val="auto"/>
          <w:sz w:val="24"/>
        </w:rPr>
        <w:t>4、单价金额小数点有明显错位的，应以总价为准，并修正单价；</w:t>
      </w:r>
    </w:p>
    <w:p>
      <w:pPr>
        <w:pStyle w:val="31"/>
        <w:spacing w:line="276" w:lineRule="auto"/>
        <w:ind w:firstLine="480" w:firstLineChars="200"/>
        <w:rPr>
          <w:rFonts w:hint="eastAsia" w:hAnsi="宋体"/>
          <w:color w:val="auto"/>
          <w:sz w:val="24"/>
        </w:rPr>
      </w:pPr>
      <w:r>
        <w:rPr>
          <w:rFonts w:hint="eastAsia" w:hAnsi="宋体"/>
          <w:color w:val="auto"/>
          <w:sz w:val="24"/>
        </w:rPr>
        <w:t>5、对不同文字文本响应文件的解释发生异议的，以中文文本为准。</w:t>
      </w:r>
    </w:p>
    <w:p>
      <w:pPr>
        <w:pStyle w:val="31"/>
        <w:spacing w:line="276" w:lineRule="auto"/>
        <w:ind w:firstLine="480" w:firstLineChars="200"/>
        <w:rPr>
          <w:rFonts w:hint="eastAsia" w:hAnsi="宋体"/>
          <w:color w:val="auto"/>
          <w:sz w:val="24"/>
        </w:rPr>
      </w:pPr>
      <w:r>
        <w:rPr>
          <w:rFonts w:hint="eastAsia" w:hAnsi="宋体"/>
          <w:color w:val="auto"/>
          <w:sz w:val="24"/>
        </w:rPr>
        <w:t>磋商小组按上述修正错误的原则及方法调整或修正供应商报价，供应商同意并签字确认后，调整后的报价对供应商具有约束作用。如果供应商不接受修正后的报价，则将其作为响应文件无效处理。</w:t>
      </w:r>
    </w:p>
    <w:p>
      <w:pPr>
        <w:pStyle w:val="31"/>
        <w:spacing w:line="276" w:lineRule="auto"/>
        <w:ind w:firstLine="480" w:firstLineChars="200"/>
        <w:rPr>
          <w:rFonts w:hint="eastAsia" w:hAnsi="宋体"/>
          <w:color w:val="auto"/>
          <w:sz w:val="24"/>
        </w:rPr>
      </w:pPr>
      <w:r>
        <w:rPr>
          <w:rFonts w:hint="eastAsia" w:hAnsi="宋体"/>
          <w:color w:val="auto"/>
          <w:sz w:val="24"/>
        </w:rPr>
        <w:t>（八）响应文件的递交</w:t>
      </w:r>
    </w:p>
    <w:p>
      <w:pPr>
        <w:pStyle w:val="31"/>
        <w:spacing w:line="276" w:lineRule="auto"/>
        <w:ind w:firstLine="480" w:firstLineChars="200"/>
        <w:rPr>
          <w:rFonts w:hint="eastAsia" w:hAnsi="宋体"/>
          <w:color w:val="auto"/>
          <w:sz w:val="24"/>
        </w:rPr>
      </w:pPr>
      <w:r>
        <w:rPr>
          <w:rFonts w:hint="eastAsia" w:hAnsi="宋体"/>
          <w:color w:val="auto"/>
          <w:sz w:val="24"/>
        </w:rPr>
        <w:t>1、响应文件的密封与标记</w:t>
      </w:r>
    </w:p>
    <w:p>
      <w:pPr>
        <w:pStyle w:val="31"/>
        <w:spacing w:line="276" w:lineRule="auto"/>
        <w:ind w:firstLine="480" w:firstLineChars="200"/>
        <w:rPr>
          <w:rFonts w:hint="eastAsia" w:hAnsi="宋体"/>
          <w:color w:val="auto"/>
          <w:sz w:val="24"/>
        </w:rPr>
      </w:pPr>
      <w:r>
        <w:rPr>
          <w:rFonts w:hint="eastAsia" w:hAnsi="宋体"/>
          <w:color w:val="auto"/>
          <w:sz w:val="24"/>
        </w:rPr>
        <w:t>1.1响应文件的正本、副本均应密封送达磋商地点，应在封套上注明项目名称、供应商名称。若正本、副本分别进行密封的，还应在封套上注明“正本”、“副本”字样。</w:t>
      </w:r>
    </w:p>
    <w:p>
      <w:pPr>
        <w:pStyle w:val="31"/>
        <w:spacing w:line="276" w:lineRule="auto"/>
        <w:ind w:firstLine="480" w:firstLineChars="200"/>
        <w:rPr>
          <w:rFonts w:hint="eastAsia" w:hAnsi="宋体"/>
          <w:color w:val="auto"/>
          <w:sz w:val="24"/>
        </w:rPr>
      </w:pPr>
      <w:r>
        <w:rPr>
          <w:rFonts w:hint="eastAsia" w:hAnsi="宋体"/>
          <w:color w:val="auto"/>
          <w:sz w:val="24"/>
        </w:rPr>
        <w:t>1.2封套的封口处应加盖供应商公章或由法定代表人授权代表签字。</w:t>
      </w:r>
    </w:p>
    <w:p>
      <w:pPr>
        <w:pStyle w:val="31"/>
        <w:spacing w:line="276" w:lineRule="auto"/>
        <w:ind w:firstLine="480" w:firstLineChars="200"/>
        <w:rPr>
          <w:rFonts w:hint="eastAsia" w:hAnsi="宋体"/>
          <w:color w:val="auto"/>
          <w:sz w:val="24"/>
        </w:rPr>
      </w:pPr>
      <w:r>
        <w:rPr>
          <w:rFonts w:hint="eastAsia" w:hAnsi="宋体"/>
          <w:color w:val="auto"/>
          <w:sz w:val="24"/>
        </w:rPr>
        <w:t>2、如果未按上述规定进行密封和标记，采购人对响应文件误投、丢失或提前拆封不负责任。</w:t>
      </w:r>
    </w:p>
    <w:p>
      <w:pPr>
        <w:pStyle w:val="3"/>
        <w:spacing w:line="276" w:lineRule="auto"/>
        <w:ind w:firstLine="482" w:firstLineChars="200"/>
        <w:rPr>
          <w:rFonts w:hint="eastAsia"/>
          <w:b/>
          <w:color w:val="auto"/>
          <w:sz w:val="24"/>
        </w:rPr>
      </w:pPr>
      <w:bookmarkStart w:id="45" w:name="_Toc441065682"/>
      <w:bookmarkStart w:id="46" w:name="_Toc18216"/>
      <w:r>
        <w:rPr>
          <w:rFonts w:hint="eastAsia"/>
          <w:b/>
          <w:color w:val="auto"/>
          <w:sz w:val="24"/>
        </w:rPr>
        <w:t>四、</w:t>
      </w:r>
      <w:bookmarkEnd w:id="45"/>
      <w:r>
        <w:rPr>
          <w:rFonts w:hint="eastAsia"/>
          <w:b/>
          <w:color w:val="auto"/>
          <w:sz w:val="24"/>
        </w:rPr>
        <w:t>竞争性磋商程序</w:t>
      </w:r>
      <w:bookmarkEnd w:id="46"/>
    </w:p>
    <w:p>
      <w:pPr>
        <w:spacing w:line="276" w:lineRule="auto"/>
        <w:ind w:firstLine="480" w:firstLineChars="200"/>
        <w:rPr>
          <w:rFonts w:hint="eastAsia" w:ascii="宋体" w:hAnsi="宋体"/>
          <w:color w:val="auto"/>
          <w:sz w:val="24"/>
        </w:rPr>
      </w:pPr>
      <w:r>
        <w:rPr>
          <w:rFonts w:hint="eastAsia" w:ascii="宋体" w:hAnsi="宋体"/>
          <w:color w:val="auto"/>
          <w:sz w:val="24"/>
        </w:rPr>
        <w:t>（一）磋商应当在磋商文件中“竞争性磋商邀请书”确定的时间和地点公开进行。</w:t>
      </w:r>
    </w:p>
    <w:p>
      <w:pPr>
        <w:spacing w:line="276" w:lineRule="auto"/>
        <w:ind w:firstLine="480" w:firstLineChars="200"/>
        <w:rPr>
          <w:rFonts w:hint="eastAsia" w:ascii="宋体" w:hAnsi="宋体"/>
          <w:color w:val="auto"/>
          <w:sz w:val="24"/>
        </w:rPr>
      </w:pPr>
      <w:r>
        <w:rPr>
          <w:rFonts w:hint="eastAsia" w:ascii="宋体" w:hAnsi="宋体"/>
          <w:color w:val="auto"/>
          <w:sz w:val="24"/>
        </w:rPr>
        <w:t>（二）磋商评审活动邀请采购人、财政部门和有关监督部门代表参加，财政部门和有关监督部门可视情况派员现场监督。</w:t>
      </w:r>
    </w:p>
    <w:p>
      <w:pPr>
        <w:spacing w:line="276" w:lineRule="auto"/>
        <w:ind w:firstLine="480" w:firstLineChars="200"/>
        <w:rPr>
          <w:rFonts w:hint="eastAsia" w:ascii="宋体" w:hAnsi="宋体"/>
          <w:color w:val="auto"/>
          <w:sz w:val="24"/>
        </w:rPr>
      </w:pPr>
      <w:r>
        <w:rPr>
          <w:rFonts w:hint="eastAsia" w:ascii="宋体" w:hAnsi="宋体"/>
          <w:color w:val="auto"/>
          <w:sz w:val="24"/>
        </w:rPr>
        <w:t>（三）按磋商文件规定的响应文件提交截止时间内，供应商法定代表人或授权代表签到并提交响应文件，磋商保证金。</w:t>
      </w:r>
    </w:p>
    <w:p>
      <w:pPr>
        <w:spacing w:line="276" w:lineRule="auto"/>
        <w:ind w:firstLine="480" w:firstLineChars="200"/>
        <w:rPr>
          <w:rFonts w:hint="eastAsia" w:ascii="宋体" w:hAnsi="宋体"/>
          <w:color w:val="auto"/>
          <w:sz w:val="24"/>
        </w:rPr>
      </w:pPr>
      <w:r>
        <w:rPr>
          <w:rFonts w:hint="eastAsia" w:ascii="宋体" w:hAnsi="宋体"/>
          <w:color w:val="auto"/>
          <w:sz w:val="24"/>
        </w:rPr>
        <w:t>（四）磋商评审前，由供应商或者其推选的授权代表检查响应文件的密封情况，经确认密封完好的响应文件，由采购人工作人员当众拆封。</w:t>
      </w:r>
    </w:p>
    <w:p>
      <w:pPr>
        <w:spacing w:line="276" w:lineRule="auto"/>
        <w:ind w:firstLine="480" w:firstLineChars="200"/>
        <w:rPr>
          <w:rFonts w:hint="eastAsia" w:ascii="宋体" w:hAnsi="宋体"/>
          <w:color w:val="auto"/>
          <w:sz w:val="24"/>
        </w:rPr>
      </w:pPr>
      <w:r>
        <w:rPr>
          <w:rFonts w:hint="eastAsia" w:ascii="宋体" w:hAnsi="宋体"/>
          <w:color w:val="auto"/>
          <w:sz w:val="24"/>
        </w:rPr>
        <w:t>（五）响应文件转入评标室由磋商小组评审。</w:t>
      </w:r>
    </w:p>
    <w:p>
      <w:pPr>
        <w:spacing w:line="276" w:lineRule="auto"/>
        <w:ind w:firstLine="480" w:firstLineChars="200"/>
        <w:rPr>
          <w:rFonts w:hint="eastAsia" w:ascii="宋体" w:hAnsi="宋体"/>
          <w:color w:val="auto"/>
          <w:sz w:val="24"/>
        </w:rPr>
      </w:pPr>
      <w:r>
        <w:rPr>
          <w:rFonts w:hint="eastAsia" w:ascii="宋体" w:hAnsi="宋体"/>
          <w:color w:val="auto"/>
          <w:sz w:val="24"/>
        </w:rPr>
        <w:t>（九）磋商小组对响应文件进行资格性和符合性审查。</w:t>
      </w:r>
    </w:p>
    <w:p>
      <w:pPr>
        <w:spacing w:line="276" w:lineRule="auto"/>
        <w:ind w:firstLine="480" w:firstLineChars="200"/>
        <w:rPr>
          <w:rFonts w:hint="eastAsia" w:ascii="宋体" w:hAnsi="宋体"/>
          <w:color w:val="auto"/>
          <w:sz w:val="24"/>
        </w:rPr>
      </w:pPr>
      <w:r>
        <w:rPr>
          <w:rFonts w:hint="eastAsia" w:ascii="宋体" w:hAnsi="宋体"/>
          <w:color w:val="auto"/>
          <w:sz w:val="24"/>
        </w:rPr>
        <w:t>（十）</w:t>
      </w:r>
      <w:r>
        <w:rPr>
          <w:rFonts w:hint="eastAsia" w:ascii="宋体" w:hAnsi="宋体"/>
          <w:b/>
          <w:color w:val="auto"/>
          <w:sz w:val="24"/>
          <w:szCs w:val="24"/>
        </w:rPr>
        <w:t>竞争性磋商以签到的顺序作为磋商顺序</w:t>
      </w:r>
      <w:r>
        <w:rPr>
          <w:rFonts w:hint="eastAsia" w:ascii="宋体" w:hAnsi="宋体"/>
          <w:color w:val="auto"/>
          <w:sz w:val="24"/>
          <w:szCs w:val="24"/>
        </w:rPr>
        <w:t>，</w:t>
      </w:r>
      <w:r>
        <w:rPr>
          <w:rFonts w:hint="eastAsia" w:ascii="宋体" w:hAnsi="宋体"/>
          <w:color w:val="auto"/>
          <w:sz w:val="24"/>
        </w:rPr>
        <w:t>磋商小组</w:t>
      </w:r>
      <w:r>
        <w:rPr>
          <w:rFonts w:hint="eastAsia" w:ascii="宋体" w:hAnsi="宋体" w:cs="方正仿宋_GBK"/>
          <w:color w:val="auto"/>
          <w:sz w:val="24"/>
          <w:szCs w:val="24"/>
        </w:rPr>
        <w:t>分别与各供应商进行磋商，供应商入场参与磋商的人员不得超过2人，其中包含法定代表人授权代表和项目负责人（可为同一人）。若有实质性变动，供应商应作出相应承诺或重新提交响应文件（具体见</w:t>
      </w:r>
      <w:r>
        <w:rPr>
          <w:rFonts w:hint="eastAsia" w:ascii="宋体" w:hAnsi="宋体"/>
          <w:color w:val="auto"/>
          <w:sz w:val="24"/>
        </w:rPr>
        <w:t>第三篇“评审程序”内容）</w:t>
      </w:r>
      <w:r>
        <w:rPr>
          <w:rFonts w:hint="eastAsia" w:ascii="宋体" w:hAnsi="宋体" w:cs="方正仿宋_GBK"/>
          <w:color w:val="auto"/>
          <w:sz w:val="24"/>
          <w:szCs w:val="24"/>
        </w:rPr>
        <w:t>。</w:t>
      </w:r>
    </w:p>
    <w:p>
      <w:pPr>
        <w:spacing w:line="276" w:lineRule="auto"/>
        <w:ind w:firstLine="480" w:firstLineChars="200"/>
        <w:rPr>
          <w:rFonts w:hint="eastAsia" w:ascii="宋体" w:hAnsi="宋体"/>
          <w:color w:val="auto"/>
          <w:sz w:val="24"/>
        </w:rPr>
      </w:pPr>
      <w:r>
        <w:rPr>
          <w:rFonts w:hint="eastAsia" w:ascii="宋体" w:hAnsi="宋体"/>
          <w:color w:val="auto"/>
          <w:sz w:val="24"/>
        </w:rPr>
        <w:t>（十一）供应商按磋商情况，提交最后报价。最后报价应统一填写，同时提交，并由主持人当众宣读合格供应商的最后报价。</w:t>
      </w:r>
      <w:r>
        <w:rPr>
          <w:rFonts w:hint="eastAsia" w:ascii="宋体" w:hAnsi="宋体"/>
          <w:b/>
          <w:bCs/>
          <w:color w:val="auto"/>
          <w:sz w:val="24"/>
          <w:szCs w:val="24"/>
        </w:rPr>
        <w:t>原则上</w:t>
      </w:r>
      <w:r>
        <w:rPr>
          <w:rFonts w:hint="eastAsia" w:ascii="宋体" w:hAnsi="宋体"/>
          <w:b/>
          <w:bCs/>
          <w:color w:val="auto"/>
          <w:sz w:val="24"/>
          <w:szCs w:val="24"/>
          <w:lang w:eastAsia="zh-CN"/>
        </w:rPr>
        <w:t>最终</w:t>
      </w:r>
      <w:r>
        <w:rPr>
          <w:rFonts w:hint="eastAsia" w:ascii="宋体" w:hAnsi="宋体"/>
          <w:b/>
          <w:bCs/>
          <w:color w:val="auto"/>
          <w:sz w:val="24"/>
          <w:szCs w:val="24"/>
        </w:rPr>
        <w:t>报价不得高于</w:t>
      </w:r>
      <w:r>
        <w:rPr>
          <w:rFonts w:hint="eastAsia" w:ascii="宋体" w:hAnsi="宋体"/>
          <w:b/>
          <w:bCs/>
          <w:color w:val="auto"/>
          <w:sz w:val="24"/>
          <w:szCs w:val="24"/>
          <w:lang w:eastAsia="zh-CN"/>
        </w:rPr>
        <w:t>原</w:t>
      </w:r>
      <w:r>
        <w:rPr>
          <w:rFonts w:hint="eastAsia" w:ascii="宋体" w:hAnsi="宋体"/>
          <w:b/>
          <w:bCs/>
          <w:color w:val="auto"/>
          <w:sz w:val="24"/>
          <w:szCs w:val="24"/>
        </w:rPr>
        <w:t>报价，超出规定时间没有提交最终报价或最终报价高于原报价的或最终报价有歧义的，视为供应商放弃最终报价，以其</w:t>
      </w:r>
      <w:r>
        <w:rPr>
          <w:rFonts w:hint="eastAsia" w:ascii="宋体" w:hAnsi="宋体"/>
          <w:b/>
          <w:bCs/>
          <w:color w:val="auto"/>
          <w:sz w:val="24"/>
          <w:szCs w:val="24"/>
          <w:lang w:eastAsia="zh-CN"/>
        </w:rPr>
        <w:t>原</w:t>
      </w:r>
      <w:r>
        <w:rPr>
          <w:rFonts w:hint="eastAsia" w:ascii="宋体" w:hAnsi="宋体"/>
          <w:b/>
          <w:bCs/>
          <w:color w:val="auto"/>
          <w:sz w:val="24"/>
          <w:szCs w:val="24"/>
        </w:rPr>
        <w:t>报价为准。最终报价如只报总价，则最终单项报价以最终总报价与第一轮总报价之比同比例下浮（下浮比例的计算保留到小数点后两位）。</w:t>
      </w:r>
    </w:p>
    <w:p>
      <w:pPr>
        <w:pStyle w:val="31"/>
        <w:spacing w:line="276" w:lineRule="auto"/>
        <w:ind w:firstLine="480" w:firstLineChars="200"/>
        <w:rPr>
          <w:rFonts w:hint="eastAsia" w:hAnsi="宋体"/>
          <w:color w:val="auto"/>
          <w:sz w:val="24"/>
        </w:rPr>
      </w:pPr>
      <w:r>
        <w:rPr>
          <w:rFonts w:hint="eastAsia" w:hAnsi="宋体"/>
          <w:color w:val="auto"/>
          <w:sz w:val="24"/>
        </w:rPr>
        <w:t>（十二）磋商小组采用综合评分法对提交最后报价的供应商的响应文件和最后报价进行综合评分。</w:t>
      </w:r>
    </w:p>
    <w:p>
      <w:pPr>
        <w:pStyle w:val="3"/>
        <w:spacing w:line="276" w:lineRule="auto"/>
        <w:ind w:firstLine="482" w:firstLineChars="200"/>
        <w:rPr>
          <w:rFonts w:hint="eastAsia"/>
          <w:b/>
          <w:color w:val="auto"/>
          <w:sz w:val="24"/>
        </w:rPr>
      </w:pPr>
      <w:bookmarkStart w:id="47" w:name="_Toc441065684"/>
      <w:bookmarkStart w:id="48" w:name="_Toc17658"/>
      <w:r>
        <w:rPr>
          <w:rFonts w:hint="eastAsia"/>
          <w:b/>
          <w:color w:val="auto"/>
          <w:sz w:val="24"/>
        </w:rPr>
        <w:t>五、</w:t>
      </w:r>
      <w:bookmarkEnd w:id="47"/>
      <w:r>
        <w:rPr>
          <w:rFonts w:hint="eastAsia"/>
          <w:b/>
          <w:color w:val="auto"/>
          <w:sz w:val="24"/>
        </w:rPr>
        <w:t>确定成交供应商</w:t>
      </w:r>
      <w:bookmarkEnd w:id="48"/>
    </w:p>
    <w:p>
      <w:pPr>
        <w:snapToGrid w:val="0"/>
        <w:spacing w:line="276" w:lineRule="auto"/>
        <w:ind w:firstLine="480" w:firstLineChars="200"/>
        <w:rPr>
          <w:rFonts w:hint="eastAsia" w:ascii="宋体" w:hAnsi="宋体"/>
          <w:color w:val="auto"/>
          <w:sz w:val="24"/>
        </w:rPr>
      </w:pPr>
      <w:r>
        <w:rPr>
          <w:rFonts w:hint="eastAsia" w:ascii="宋体" w:hAnsi="宋体"/>
          <w:color w:val="auto"/>
          <w:sz w:val="24"/>
        </w:rPr>
        <w:t>（一）成交原则</w:t>
      </w:r>
    </w:p>
    <w:p>
      <w:pPr>
        <w:snapToGrid w:val="0"/>
        <w:spacing w:line="276" w:lineRule="auto"/>
        <w:ind w:firstLine="480" w:firstLineChars="200"/>
        <w:rPr>
          <w:rFonts w:hint="eastAsia" w:ascii="宋体" w:hAnsi="宋体"/>
          <w:color w:val="auto"/>
          <w:sz w:val="24"/>
        </w:rPr>
      </w:pPr>
      <w:r>
        <w:rPr>
          <w:rFonts w:hint="eastAsia" w:ascii="宋体" w:hAnsi="宋体"/>
          <w:color w:val="auto"/>
          <w:sz w:val="24"/>
        </w:rPr>
        <w:t>采购人或其授权的磋商小组应按照评审报告中推荐的成交候选人排名顺序确定成交供应商。</w:t>
      </w:r>
    </w:p>
    <w:p>
      <w:pPr>
        <w:pStyle w:val="31"/>
        <w:numPr>
          <w:ilvl w:val="0"/>
          <w:numId w:val="21"/>
        </w:numPr>
        <w:spacing w:line="276" w:lineRule="auto"/>
        <w:ind w:firstLine="480" w:firstLineChars="200"/>
        <w:rPr>
          <w:rFonts w:hint="eastAsia" w:hAnsi="宋体"/>
          <w:color w:val="auto"/>
          <w:sz w:val="24"/>
        </w:rPr>
      </w:pPr>
      <w:r>
        <w:rPr>
          <w:rFonts w:hint="eastAsia" w:hAnsi="宋体"/>
          <w:color w:val="auto"/>
          <w:sz w:val="24"/>
        </w:rPr>
        <w:t>确定程序</w:t>
      </w:r>
    </w:p>
    <w:p>
      <w:pPr>
        <w:pStyle w:val="31"/>
        <w:spacing w:line="276" w:lineRule="auto"/>
        <w:ind w:left="480"/>
        <w:rPr>
          <w:rFonts w:hint="eastAsia" w:hAnsi="宋体"/>
          <w:b/>
          <w:color w:val="auto"/>
          <w:sz w:val="24"/>
        </w:rPr>
      </w:pPr>
      <w:r>
        <w:rPr>
          <w:rFonts w:hint="eastAsia" w:hAnsi="宋体"/>
          <w:b/>
          <w:color w:val="auto"/>
          <w:sz w:val="24"/>
        </w:rPr>
        <w:t>本项目</w:t>
      </w:r>
      <w:r>
        <w:rPr>
          <w:rFonts w:hint="eastAsia" w:hAnsi="宋体"/>
          <w:b/>
          <w:bCs/>
          <w:color w:val="auto"/>
          <w:sz w:val="24"/>
        </w:rPr>
        <w:t>授权磋商小组直接确定成交供应商</w:t>
      </w:r>
    </w:p>
    <w:p>
      <w:pPr>
        <w:pStyle w:val="31"/>
        <w:spacing w:line="276" w:lineRule="auto"/>
        <w:ind w:firstLine="424" w:firstLineChars="177"/>
        <w:rPr>
          <w:rFonts w:hint="eastAsia" w:hAnsi="宋体"/>
          <w:color w:val="auto"/>
          <w:sz w:val="24"/>
        </w:rPr>
      </w:pPr>
      <w:r>
        <w:rPr>
          <w:rFonts w:hint="eastAsia" w:hAnsi="宋体"/>
          <w:color w:val="auto"/>
          <w:sz w:val="24"/>
        </w:rPr>
        <w:t xml:space="preserve"> 注：</w:t>
      </w:r>
    </w:p>
    <w:p>
      <w:pPr>
        <w:pStyle w:val="31"/>
        <w:spacing w:line="276" w:lineRule="auto"/>
        <w:ind w:firstLine="569" w:firstLineChars="236"/>
        <w:rPr>
          <w:rFonts w:hint="eastAsia" w:hAnsi="宋体"/>
          <w:b/>
          <w:bCs/>
          <w:color w:val="auto"/>
          <w:sz w:val="24"/>
        </w:rPr>
      </w:pPr>
      <w:r>
        <w:rPr>
          <w:rFonts w:hint="eastAsia" w:hAnsi="宋体"/>
          <w:b/>
          <w:bCs/>
          <w:color w:val="auto"/>
          <w:sz w:val="24"/>
        </w:rPr>
        <w:t>（采购人确定成交供应商的情况）</w:t>
      </w:r>
    </w:p>
    <w:p>
      <w:pPr>
        <w:pStyle w:val="31"/>
        <w:spacing w:line="276" w:lineRule="auto"/>
        <w:ind w:firstLine="480" w:firstLineChars="200"/>
        <w:rPr>
          <w:rFonts w:hint="eastAsia" w:hAnsi="宋体"/>
          <w:color w:val="auto"/>
          <w:sz w:val="24"/>
        </w:rPr>
      </w:pPr>
      <w:r>
        <w:rPr>
          <w:rFonts w:hint="eastAsia" w:hAnsi="宋体"/>
          <w:color w:val="auto"/>
          <w:sz w:val="24"/>
        </w:rPr>
        <w:t>1、采购人应当自评审结束之日起2个工作日内将评审报告送交采购人。</w:t>
      </w:r>
    </w:p>
    <w:p>
      <w:pPr>
        <w:pStyle w:val="31"/>
        <w:spacing w:line="276" w:lineRule="auto"/>
        <w:ind w:firstLine="480" w:firstLineChars="200"/>
        <w:rPr>
          <w:rFonts w:hint="eastAsia" w:hAnsi="宋体"/>
          <w:color w:val="auto"/>
          <w:sz w:val="24"/>
        </w:rPr>
      </w:pPr>
      <w:r>
        <w:rPr>
          <w:rFonts w:hint="eastAsia" w:hAnsi="宋体"/>
          <w:color w:val="auto"/>
          <w:sz w:val="24"/>
        </w:rPr>
        <w:t>2、采购人应当自收到评审报告之日起5个工作日内,按评审报告推荐的中标候选人顺序确定。确认后，采购人在重庆市政府采购网和</w:t>
      </w:r>
      <w:r>
        <w:rPr>
          <w:rFonts w:hint="eastAsia" w:hAnsi="宋体"/>
          <w:color w:val="auto"/>
          <w:sz w:val="24"/>
          <w:szCs w:val="24"/>
        </w:rPr>
        <w:t>重庆市公共资源交易网（北碚区）</w:t>
      </w:r>
      <w:r>
        <w:rPr>
          <w:rFonts w:hint="eastAsia" w:hAnsi="宋体"/>
          <w:color w:val="auto"/>
          <w:sz w:val="24"/>
        </w:rPr>
        <w:t>对成交结果进行公告。</w:t>
      </w:r>
    </w:p>
    <w:p>
      <w:pPr>
        <w:pStyle w:val="31"/>
        <w:spacing w:line="276" w:lineRule="auto"/>
        <w:ind w:firstLine="480" w:firstLineChars="200"/>
        <w:rPr>
          <w:rFonts w:hint="eastAsia" w:hAnsi="宋体"/>
          <w:color w:val="auto"/>
          <w:sz w:val="24"/>
        </w:rPr>
      </w:pPr>
      <w:r>
        <w:rPr>
          <w:rFonts w:hint="eastAsia" w:hAnsi="宋体"/>
          <w:color w:val="auto"/>
          <w:sz w:val="24"/>
        </w:rPr>
        <w:t>公告内容包括项目名称和项目编号，磋商小组成员名单，采购人和采购人名称、地址、联系方式，成交供应商信息公示（包含成交供应商地址，成家价格，服务期或实施时间）。</w:t>
      </w:r>
    </w:p>
    <w:p>
      <w:pPr>
        <w:pStyle w:val="31"/>
        <w:spacing w:line="276" w:lineRule="auto"/>
        <w:ind w:firstLine="480" w:firstLineChars="200"/>
        <w:rPr>
          <w:rFonts w:hint="eastAsia" w:hAnsi="宋体"/>
          <w:color w:val="auto"/>
          <w:sz w:val="24"/>
        </w:rPr>
      </w:pPr>
      <w:r>
        <w:rPr>
          <w:rFonts w:hint="eastAsia" w:hAnsi="宋体"/>
          <w:color w:val="auto"/>
          <w:sz w:val="24"/>
        </w:rPr>
        <w:t>4、如有供应商对成交结果提出质疑的，在质疑处理完毕后发出中标通知书。</w:t>
      </w:r>
    </w:p>
    <w:p>
      <w:pPr>
        <w:pStyle w:val="31"/>
        <w:spacing w:line="276" w:lineRule="auto"/>
        <w:ind w:firstLine="480" w:firstLineChars="200"/>
        <w:rPr>
          <w:rFonts w:hint="eastAsia" w:hAnsi="宋体"/>
          <w:color w:val="auto"/>
          <w:sz w:val="24"/>
        </w:rPr>
      </w:pPr>
      <w:r>
        <w:rPr>
          <w:rFonts w:hint="eastAsia" w:hAnsi="宋体"/>
          <w:color w:val="auto"/>
          <w:sz w:val="24"/>
        </w:rPr>
        <w:t>5、成交供应商变更</w:t>
      </w:r>
    </w:p>
    <w:p>
      <w:pPr>
        <w:pStyle w:val="31"/>
        <w:spacing w:line="276" w:lineRule="auto"/>
        <w:ind w:firstLine="480" w:firstLineChars="200"/>
        <w:rPr>
          <w:rFonts w:hint="eastAsia" w:hAnsi="宋体"/>
          <w:color w:val="auto"/>
          <w:sz w:val="24"/>
        </w:rPr>
      </w:pPr>
      <w:r>
        <w:rPr>
          <w:rFonts w:hint="eastAsia" w:hAnsi="宋体"/>
          <w:color w:val="auto"/>
          <w:sz w:val="24"/>
        </w:rPr>
        <w:t>5.1成交供应商拒绝与采购人签订合同的，采购人可以按照评审报告推荐的成交候选人名单排序，确定下一候选人为成交供应商，也可以重新开展政府采购活动。</w:t>
      </w:r>
    </w:p>
    <w:p>
      <w:pPr>
        <w:snapToGrid w:val="0"/>
        <w:spacing w:line="276" w:lineRule="auto"/>
        <w:ind w:firstLine="480" w:firstLineChars="200"/>
        <w:rPr>
          <w:rFonts w:hint="eastAsia" w:ascii="宋体" w:hAnsi="宋体"/>
          <w:color w:val="auto"/>
          <w:sz w:val="24"/>
        </w:rPr>
      </w:pPr>
      <w:r>
        <w:rPr>
          <w:rFonts w:hint="eastAsia" w:ascii="宋体" w:hAnsi="宋体"/>
          <w:color w:val="auto"/>
          <w:sz w:val="24"/>
        </w:rPr>
        <w:t>5.2成交供应商无充分理由放弃的，采购人将会同采购代理机构把相关情况报财政部门，财政部门将根据财政部十八号令第七十五条的规定对违规供应商进行处罚。</w:t>
      </w:r>
    </w:p>
    <w:p>
      <w:pPr>
        <w:pStyle w:val="31"/>
        <w:spacing w:line="276" w:lineRule="auto"/>
        <w:ind w:firstLine="569" w:firstLineChars="236"/>
        <w:rPr>
          <w:rFonts w:hint="eastAsia" w:hAnsi="宋体"/>
          <w:b/>
          <w:bCs/>
          <w:color w:val="auto"/>
          <w:sz w:val="24"/>
        </w:rPr>
      </w:pPr>
      <w:r>
        <w:rPr>
          <w:rFonts w:hint="eastAsia" w:hAnsi="宋体"/>
          <w:b/>
          <w:bCs/>
          <w:color w:val="auto"/>
          <w:sz w:val="24"/>
        </w:rPr>
        <w:t>（授权磋商小组确定成交供应商的情况）</w:t>
      </w:r>
    </w:p>
    <w:p>
      <w:pPr>
        <w:pStyle w:val="31"/>
        <w:spacing w:line="276" w:lineRule="auto"/>
        <w:ind w:firstLine="480" w:firstLineChars="200"/>
        <w:rPr>
          <w:rFonts w:hint="eastAsia" w:hAnsi="宋体"/>
          <w:color w:val="auto"/>
          <w:sz w:val="24"/>
        </w:rPr>
      </w:pPr>
      <w:r>
        <w:rPr>
          <w:rFonts w:hint="eastAsia" w:hAnsi="宋体"/>
          <w:color w:val="auto"/>
          <w:sz w:val="24"/>
        </w:rPr>
        <w:t>1、评审工作结束，由采购人现场确认后，采购人在重庆市政府采购网和重庆市公共资源交易网（北碚区）对成交结果进行公告。</w:t>
      </w:r>
    </w:p>
    <w:p>
      <w:pPr>
        <w:pStyle w:val="31"/>
        <w:spacing w:line="276" w:lineRule="auto"/>
        <w:ind w:firstLine="480" w:firstLineChars="200"/>
        <w:rPr>
          <w:rFonts w:hint="eastAsia" w:hAnsi="宋体"/>
          <w:color w:val="auto"/>
          <w:sz w:val="24"/>
        </w:rPr>
      </w:pPr>
      <w:r>
        <w:rPr>
          <w:rFonts w:hint="eastAsia" w:hAnsi="宋体"/>
          <w:color w:val="auto"/>
          <w:sz w:val="24"/>
        </w:rPr>
        <w:t>2、公告内容包括招标项目名称和项目编号，评标委员会成员名单，采购人和采购人名称、地址、联系方式，成交供应商的情况（包含成交供应商地址，成交价格，服务期或实施时间）。</w:t>
      </w:r>
    </w:p>
    <w:p>
      <w:pPr>
        <w:pStyle w:val="31"/>
        <w:spacing w:line="276" w:lineRule="auto"/>
        <w:ind w:firstLine="480" w:firstLineChars="200"/>
        <w:rPr>
          <w:rFonts w:hint="eastAsia" w:hAnsi="宋体"/>
          <w:color w:val="auto"/>
          <w:sz w:val="24"/>
        </w:rPr>
      </w:pPr>
      <w:r>
        <w:rPr>
          <w:rFonts w:hint="eastAsia" w:hAnsi="宋体"/>
          <w:color w:val="auto"/>
          <w:sz w:val="24"/>
        </w:rPr>
        <w:t>3、如有供应商对评标结果提出质疑的，在质疑处理完毕后发出中标通知书。</w:t>
      </w:r>
    </w:p>
    <w:p>
      <w:pPr>
        <w:pStyle w:val="31"/>
        <w:spacing w:line="276" w:lineRule="auto"/>
        <w:ind w:firstLine="480" w:firstLineChars="200"/>
        <w:rPr>
          <w:rFonts w:hint="eastAsia" w:hAnsi="宋体"/>
          <w:color w:val="auto"/>
          <w:sz w:val="24"/>
        </w:rPr>
      </w:pPr>
      <w:r>
        <w:rPr>
          <w:rFonts w:hint="eastAsia" w:hAnsi="宋体"/>
          <w:color w:val="auto"/>
          <w:sz w:val="24"/>
        </w:rPr>
        <w:t>4、成交供应商变更</w:t>
      </w:r>
    </w:p>
    <w:p>
      <w:pPr>
        <w:pStyle w:val="31"/>
        <w:spacing w:line="276" w:lineRule="auto"/>
        <w:ind w:firstLine="480" w:firstLineChars="200"/>
        <w:rPr>
          <w:rFonts w:hint="eastAsia" w:hAnsi="宋体"/>
          <w:color w:val="auto"/>
          <w:sz w:val="24"/>
        </w:rPr>
      </w:pPr>
      <w:r>
        <w:rPr>
          <w:rFonts w:hint="eastAsia" w:hAnsi="宋体"/>
          <w:color w:val="auto"/>
          <w:sz w:val="24"/>
        </w:rPr>
        <w:t>4.1成交供应商拒绝与采购人签订合同的，采购人可以按照评审报告推荐的中标候选人名单排序，确定下一候选人为成交供应商，也可以重新开展政府采购活动。</w:t>
      </w:r>
    </w:p>
    <w:p>
      <w:pPr>
        <w:snapToGrid w:val="0"/>
        <w:spacing w:line="276" w:lineRule="auto"/>
        <w:ind w:firstLine="480" w:firstLineChars="200"/>
        <w:rPr>
          <w:rFonts w:hint="eastAsia" w:ascii="宋体" w:hAnsi="宋体"/>
          <w:color w:val="auto"/>
          <w:sz w:val="24"/>
        </w:rPr>
      </w:pPr>
      <w:r>
        <w:rPr>
          <w:rFonts w:hint="eastAsia" w:ascii="宋体" w:hAnsi="宋体"/>
          <w:color w:val="auto"/>
          <w:sz w:val="24"/>
        </w:rPr>
        <w:t>4.2成交供应商无充分理由放弃的，采购人将会同采购代理机构把相关情况报财政部门，财政部门将根据相关规定对违规供应商进行处罚。</w:t>
      </w:r>
    </w:p>
    <w:p>
      <w:pPr>
        <w:pStyle w:val="3"/>
        <w:spacing w:line="276" w:lineRule="auto"/>
        <w:ind w:firstLine="482" w:firstLineChars="200"/>
        <w:rPr>
          <w:rFonts w:hint="eastAsia"/>
          <w:b/>
          <w:color w:val="auto"/>
          <w:sz w:val="24"/>
        </w:rPr>
      </w:pPr>
      <w:bookmarkStart w:id="49" w:name="_Toc441065685"/>
      <w:bookmarkStart w:id="50" w:name="_Toc11843"/>
      <w:r>
        <w:rPr>
          <w:rFonts w:hint="eastAsia"/>
          <w:b/>
          <w:color w:val="auto"/>
          <w:sz w:val="24"/>
        </w:rPr>
        <w:t>六、成交通知书</w:t>
      </w:r>
      <w:bookmarkEnd w:id="49"/>
      <w:bookmarkEnd w:id="50"/>
    </w:p>
    <w:p>
      <w:pPr>
        <w:ind w:firstLine="566" w:firstLineChars="236"/>
        <w:rPr>
          <w:rFonts w:hint="eastAsia" w:ascii="宋体" w:hAnsi="宋体"/>
          <w:color w:val="auto"/>
          <w:sz w:val="24"/>
        </w:rPr>
      </w:pPr>
      <w:r>
        <w:rPr>
          <w:rFonts w:hint="eastAsia" w:ascii="宋体" w:hAnsi="宋体"/>
          <w:color w:val="auto"/>
          <w:sz w:val="24"/>
        </w:rPr>
        <w:t>本项目不发成交通知书，公示期结束后无异议时，采购人直接通知拟中标人。</w:t>
      </w:r>
    </w:p>
    <w:p>
      <w:pPr>
        <w:pStyle w:val="3"/>
        <w:spacing w:line="276" w:lineRule="auto"/>
        <w:ind w:firstLine="482" w:firstLineChars="200"/>
        <w:rPr>
          <w:rFonts w:hint="eastAsia"/>
          <w:b/>
          <w:color w:val="auto"/>
          <w:sz w:val="24"/>
        </w:rPr>
      </w:pPr>
      <w:bookmarkStart w:id="51" w:name="_Toc32347"/>
      <w:bookmarkStart w:id="52" w:name="_Toc441065686"/>
      <w:r>
        <w:rPr>
          <w:rFonts w:hint="eastAsia"/>
          <w:b/>
          <w:color w:val="auto"/>
          <w:sz w:val="24"/>
        </w:rPr>
        <w:t>七、关于质疑和投诉</w:t>
      </w:r>
      <w:bookmarkEnd w:id="51"/>
      <w:bookmarkEnd w:id="52"/>
    </w:p>
    <w:p>
      <w:pPr>
        <w:spacing w:line="276" w:lineRule="auto"/>
        <w:ind w:right="12" w:firstLine="480"/>
        <w:rPr>
          <w:rFonts w:hint="eastAsia" w:ascii="宋体" w:hAnsi="宋体"/>
          <w:color w:val="auto"/>
          <w:sz w:val="24"/>
        </w:rPr>
      </w:pPr>
      <w:r>
        <w:rPr>
          <w:rFonts w:hint="eastAsia" w:ascii="宋体" w:hAnsi="宋体"/>
          <w:color w:val="auto"/>
          <w:sz w:val="24"/>
        </w:rPr>
        <w:t>（一）质疑内容、时限</w:t>
      </w:r>
    </w:p>
    <w:p>
      <w:pPr>
        <w:spacing w:line="276" w:lineRule="auto"/>
        <w:ind w:right="12" w:firstLine="480"/>
        <w:rPr>
          <w:rFonts w:hint="eastAsia" w:ascii="宋体" w:hAnsi="宋体"/>
          <w:color w:val="auto"/>
          <w:sz w:val="24"/>
        </w:rPr>
      </w:pPr>
      <w:r>
        <w:rPr>
          <w:rFonts w:hint="eastAsia" w:ascii="宋体" w:hAnsi="宋体"/>
          <w:color w:val="auto"/>
          <w:sz w:val="24"/>
        </w:rPr>
        <w:t>1、供应商对成交结果有异议的，应当在成交结果发布之日起七个工作日内以书面形式向采购人提出质疑，并附相关证明材料。</w:t>
      </w:r>
    </w:p>
    <w:p>
      <w:pPr>
        <w:spacing w:line="276" w:lineRule="auto"/>
        <w:ind w:right="12" w:firstLine="480"/>
        <w:rPr>
          <w:rFonts w:hint="eastAsia" w:ascii="宋体" w:hAnsi="宋体"/>
          <w:color w:val="auto"/>
          <w:sz w:val="24"/>
        </w:rPr>
      </w:pPr>
      <w:r>
        <w:rPr>
          <w:rFonts w:hint="eastAsia" w:ascii="宋体" w:hAnsi="宋体"/>
          <w:color w:val="auto"/>
          <w:sz w:val="24"/>
        </w:rPr>
        <w:t>2、供应商对采购文件中供应商特定资格条件、技术质量和商务要求、评审标准及评审细则有异议的，应向采购人提出质疑。</w:t>
      </w:r>
    </w:p>
    <w:p>
      <w:pPr>
        <w:spacing w:line="276" w:lineRule="auto"/>
        <w:ind w:right="12" w:firstLine="480"/>
        <w:rPr>
          <w:rFonts w:hint="eastAsia" w:ascii="宋体" w:hAnsi="宋体"/>
          <w:color w:val="auto"/>
          <w:sz w:val="24"/>
        </w:rPr>
      </w:pPr>
      <w:r>
        <w:rPr>
          <w:rFonts w:hint="eastAsia" w:ascii="宋体" w:hAnsi="宋体"/>
          <w:color w:val="auto"/>
          <w:sz w:val="24"/>
        </w:rPr>
        <w:t>（二）质疑答复时限</w:t>
      </w:r>
    </w:p>
    <w:p>
      <w:pPr>
        <w:spacing w:line="276" w:lineRule="auto"/>
        <w:ind w:right="12" w:firstLine="480"/>
        <w:rPr>
          <w:rFonts w:hint="eastAsia" w:ascii="宋体" w:hAnsi="宋体"/>
          <w:color w:val="auto"/>
          <w:sz w:val="24"/>
        </w:rPr>
      </w:pPr>
      <w:r>
        <w:rPr>
          <w:rFonts w:hint="eastAsia" w:ascii="宋体" w:hAnsi="宋体"/>
          <w:color w:val="auto"/>
          <w:sz w:val="24"/>
        </w:rPr>
        <w:t>采购人在收到供应商书面质疑后七个工作日内，对质疑内容作出答复。</w:t>
      </w:r>
    </w:p>
    <w:p>
      <w:pPr>
        <w:spacing w:line="276" w:lineRule="auto"/>
        <w:ind w:right="12" w:firstLine="480"/>
        <w:rPr>
          <w:rFonts w:hint="eastAsia" w:ascii="宋体" w:hAnsi="宋体"/>
          <w:color w:val="auto"/>
          <w:sz w:val="24"/>
        </w:rPr>
      </w:pPr>
      <w:r>
        <w:rPr>
          <w:rFonts w:hint="eastAsia" w:ascii="宋体" w:hAnsi="宋体"/>
          <w:color w:val="auto"/>
          <w:sz w:val="24"/>
        </w:rPr>
        <w:t>（三）不予受理或暂缓受理</w:t>
      </w:r>
    </w:p>
    <w:p>
      <w:pPr>
        <w:spacing w:line="276" w:lineRule="auto"/>
        <w:ind w:right="12" w:firstLine="480"/>
        <w:rPr>
          <w:rFonts w:hint="eastAsia" w:ascii="宋体" w:hAnsi="宋体"/>
          <w:color w:val="auto"/>
          <w:sz w:val="24"/>
        </w:rPr>
      </w:pPr>
      <w:r>
        <w:rPr>
          <w:rFonts w:hint="eastAsia" w:ascii="宋体" w:hAnsi="宋体"/>
          <w:color w:val="auto"/>
          <w:sz w:val="24"/>
        </w:rPr>
        <w:t>1、质疑有下列情形之一的，不予受理：</w:t>
      </w:r>
    </w:p>
    <w:p>
      <w:pPr>
        <w:spacing w:line="276" w:lineRule="auto"/>
        <w:ind w:right="12" w:firstLine="480"/>
        <w:rPr>
          <w:rFonts w:hint="eastAsia" w:ascii="宋体" w:hAnsi="宋体"/>
          <w:color w:val="auto"/>
          <w:sz w:val="24"/>
        </w:rPr>
      </w:pPr>
      <w:r>
        <w:rPr>
          <w:rFonts w:hint="eastAsia" w:ascii="宋体" w:hAnsi="宋体"/>
          <w:color w:val="auto"/>
          <w:sz w:val="24"/>
        </w:rPr>
        <w:t>1.1质疑供应商参与了磋商活动后，再对磋商文件内容提出质疑的；</w:t>
      </w:r>
    </w:p>
    <w:p>
      <w:pPr>
        <w:spacing w:line="276" w:lineRule="auto"/>
        <w:ind w:right="12" w:firstLine="480"/>
        <w:rPr>
          <w:rFonts w:hint="eastAsia" w:ascii="宋体" w:hAnsi="宋体"/>
          <w:color w:val="auto"/>
          <w:sz w:val="24"/>
        </w:rPr>
      </w:pPr>
      <w:r>
        <w:rPr>
          <w:rFonts w:hint="eastAsia" w:ascii="宋体" w:hAnsi="宋体"/>
          <w:color w:val="auto"/>
          <w:sz w:val="24"/>
        </w:rPr>
        <w:t>1.2质疑超过有效期的；</w:t>
      </w:r>
    </w:p>
    <w:p>
      <w:pPr>
        <w:spacing w:line="276" w:lineRule="auto"/>
        <w:ind w:right="12" w:firstLine="480"/>
        <w:rPr>
          <w:rFonts w:hint="eastAsia" w:ascii="宋体" w:hAnsi="宋体"/>
          <w:color w:val="auto"/>
          <w:sz w:val="24"/>
        </w:rPr>
      </w:pPr>
      <w:r>
        <w:rPr>
          <w:rFonts w:hint="eastAsia" w:ascii="宋体" w:hAnsi="宋体"/>
          <w:color w:val="auto"/>
          <w:sz w:val="24"/>
        </w:rPr>
        <w:t>1.3对同一事项重复质疑的。</w:t>
      </w:r>
    </w:p>
    <w:p>
      <w:pPr>
        <w:spacing w:line="276" w:lineRule="auto"/>
        <w:ind w:right="12" w:firstLine="480"/>
        <w:rPr>
          <w:rFonts w:hint="eastAsia" w:ascii="宋体" w:hAnsi="宋体"/>
          <w:color w:val="auto"/>
          <w:sz w:val="24"/>
        </w:rPr>
      </w:pPr>
      <w:r>
        <w:rPr>
          <w:rFonts w:hint="eastAsia" w:ascii="宋体" w:hAnsi="宋体"/>
          <w:color w:val="auto"/>
          <w:sz w:val="24"/>
        </w:rPr>
        <w:t>2、质疑有下列情形之一的，应暂不受理并告知供应商补充材料。供应商及时补充材料的，应予受理；逾期未补充的，不予受理：</w:t>
      </w:r>
    </w:p>
    <w:p>
      <w:pPr>
        <w:spacing w:line="276" w:lineRule="auto"/>
        <w:ind w:right="12" w:firstLine="480"/>
        <w:rPr>
          <w:rFonts w:hint="eastAsia" w:ascii="宋体" w:hAnsi="宋体"/>
          <w:color w:val="auto"/>
          <w:sz w:val="24"/>
        </w:rPr>
      </w:pPr>
      <w:r>
        <w:rPr>
          <w:rFonts w:hint="eastAsia" w:ascii="宋体" w:hAnsi="宋体"/>
          <w:color w:val="auto"/>
          <w:sz w:val="24"/>
        </w:rPr>
        <w:t>2.1质疑书格式和内容不符合国家或重庆市相关规定的；</w:t>
      </w:r>
    </w:p>
    <w:p>
      <w:pPr>
        <w:spacing w:line="276" w:lineRule="auto"/>
        <w:ind w:right="12" w:firstLine="480"/>
        <w:rPr>
          <w:rFonts w:hint="eastAsia" w:ascii="宋体" w:hAnsi="宋体"/>
          <w:color w:val="auto"/>
          <w:sz w:val="24"/>
        </w:rPr>
      </w:pPr>
      <w:r>
        <w:rPr>
          <w:rFonts w:hint="eastAsia" w:ascii="宋体" w:hAnsi="宋体"/>
          <w:color w:val="auto"/>
          <w:sz w:val="24"/>
        </w:rPr>
        <w:t>2.2质疑书提供的依据或证明材料不全的；</w:t>
      </w:r>
    </w:p>
    <w:p>
      <w:pPr>
        <w:spacing w:line="276" w:lineRule="auto"/>
        <w:ind w:right="12" w:firstLine="480"/>
        <w:rPr>
          <w:rFonts w:hint="eastAsia" w:ascii="宋体" w:hAnsi="宋体"/>
          <w:color w:val="auto"/>
          <w:sz w:val="24"/>
        </w:rPr>
      </w:pPr>
      <w:r>
        <w:rPr>
          <w:rFonts w:hint="eastAsia" w:ascii="宋体" w:hAnsi="宋体"/>
          <w:color w:val="auto"/>
          <w:sz w:val="24"/>
        </w:rPr>
        <w:t>2.3质疑书副本数量不足的。</w:t>
      </w:r>
    </w:p>
    <w:p>
      <w:pPr>
        <w:spacing w:line="276" w:lineRule="auto"/>
        <w:ind w:right="12" w:firstLine="480"/>
        <w:rPr>
          <w:rFonts w:hint="eastAsia" w:ascii="宋体" w:hAnsi="宋体"/>
          <w:color w:val="auto"/>
          <w:sz w:val="24"/>
        </w:rPr>
      </w:pPr>
      <w:r>
        <w:rPr>
          <w:rFonts w:hint="eastAsia" w:ascii="宋体" w:hAnsi="宋体"/>
          <w:color w:val="auto"/>
          <w:sz w:val="24"/>
        </w:rPr>
        <w:t>（四）投诉</w:t>
      </w:r>
    </w:p>
    <w:p>
      <w:pPr>
        <w:spacing w:line="276" w:lineRule="auto"/>
        <w:ind w:right="12" w:firstLine="480"/>
        <w:rPr>
          <w:rFonts w:hint="eastAsia" w:ascii="宋体" w:hAnsi="宋体"/>
          <w:color w:val="auto"/>
          <w:sz w:val="24"/>
        </w:rPr>
      </w:pPr>
      <w:r>
        <w:rPr>
          <w:rFonts w:hint="eastAsia" w:ascii="宋体" w:hAnsi="宋体"/>
          <w:color w:val="auto"/>
          <w:sz w:val="24"/>
        </w:rPr>
        <w:t>1、供应商对采购人的答复不满意，或者采购人未在规定时间内答复的，可在答复期满后十五个工作日内按有关规定，向同级财政部门投诉。</w:t>
      </w:r>
    </w:p>
    <w:p>
      <w:pPr>
        <w:spacing w:line="276" w:lineRule="auto"/>
        <w:ind w:right="12" w:firstLine="480"/>
        <w:rPr>
          <w:rFonts w:hint="eastAsia" w:ascii="宋体" w:hAnsi="宋体"/>
          <w:color w:val="auto"/>
          <w:sz w:val="24"/>
        </w:rPr>
      </w:pPr>
      <w:r>
        <w:rPr>
          <w:rFonts w:hint="eastAsia" w:ascii="宋体" w:hAnsi="宋体"/>
          <w:color w:val="auto"/>
          <w:sz w:val="24"/>
        </w:rPr>
        <w:t>2、在提出投诉时，应附送相关证明材料。投诉书及证明材料为外文的，应同时提供其中文译本；中文与外文意思不一致的，以中文为准。</w:t>
      </w:r>
    </w:p>
    <w:p>
      <w:pPr>
        <w:snapToGrid w:val="0"/>
        <w:spacing w:line="276" w:lineRule="auto"/>
        <w:ind w:firstLine="480" w:firstLineChars="200"/>
        <w:rPr>
          <w:rFonts w:hint="eastAsia" w:ascii="宋体" w:hAnsi="宋体"/>
          <w:color w:val="auto"/>
          <w:sz w:val="24"/>
        </w:rPr>
      </w:pPr>
      <w:r>
        <w:rPr>
          <w:rFonts w:hint="eastAsia" w:ascii="宋体" w:hAnsi="宋体"/>
          <w:color w:val="auto"/>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pPr>
        <w:pStyle w:val="3"/>
        <w:spacing w:line="276" w:lineRule="auto"/>
        <w:ind w:firstLine="482" w:firstLineChars="200"/>
        <w:rPr>
          <w:rFonts w:hint="eastAsia"/>
          <w:b/>
          <w:color w:val="auto"/>
          <w:sz w:val="24"/>
        </w:rPr>
      </w:pPr>
      <w:bookmarkStart w:id="53" w:name="_Toc3501"/>
      <w:bookmarkStart w:id="54" w:name="_Toc441065689"/>
      <w:r>
        <w:rPr>
          <w:rFonts w:hint="eastAsia"/>
          <w:b/>
          <w:color w:val="auto"/>
          <w:sz w:val="24"/>
        </w:rPr>
        <w:t>八、签订合同</w:t>
      </w:r>
      <w:bookmarkEnd w:id="53"/>
      <w:bookmarkEnd w:id="54"/>
    </w:p>
    <w:p>
      <w:pPr>
        <w:spacing w:line="276" w:lineRule="auto"/>
        <w:ind w:firstLine="480" w:firstLineChars="200"/>
        <w:rPr>
          <w:rFonts w:hint="eastAsia" w:ascii="宋体" w:hAnsi="宋体"/>
          <w:color w:val="auto"/>
          <w:sz w:val="24"/>
        </w:rPr>
      </w:pPr>
      <w:r>
        <w:rPr>
          <w:rFonts w:hint="eastAsia" w:ascii="宋体" w:hAnsi="宋体"/>
          <w:color w:val="auto"/>
          <w:sz w:val="24"/>
        </w:rPr>
        <w:t>（一）采购人应当自成采购结果公示期结束之日起三十日内，按照磋商文件和成交供应商响应文件的约定，与成交供应商签订书面合同。所签订的合同不得对磋商文件和成交供应商响应文件作实质性修改。</w:t>
      </w:r>
    </w:p>
    <w:p>
      <w:pPr>
        <w:spacing w:line="276" w:lineRule="auto"/>
        <w:ind w:firstLine="480" w:firstLineChars="200"/>
        <w:rPr>
          <w:rFonts w:hint="eastAsia" w:ascii="宋体" w:hAnsi="宋体"/>
          <w:color w:val="auto"/>
          <w:sz w:val="24"/>
        </w:rPr>
      </w:pPr>
      <w:r>
        <w:rPr>
          <w:rFonts w:hint="eastAsia" w:ascii="宋体" w:hAnsi="宋体"/>
          <w:color w:val="auto"/>
          <w:sz w:val="24"/>
        </w:rPr>
        <w:t>（二）磋商文件、成交供应商的响应文件及澄清文件等，均为签订采购合同的依据。</w:t>
      </w:r>
    </w:p>
    <w:p>
      <w:pPr>
        <w:spacing w:line="276" w:lineRule="auto"/>
        <w:ind w:firstLine="480" w:firstLineChars="200"/>
        <w:rPr>
          <w:rFonts w:hint="eastAsia" w:ascii="宋体" w:hAnsi="宋体"/>
          <w:color w:val="auto"/>
          <w:sz w:val="24"/>
        </w:rPr>
      </w:pPr>
      <w:r>
        <w:rPr>
          <w:rFonts w:hint="eastAsia" w:ascii="宋体" w:hAnsi="宋体"/>
          <w:color w:val="auto"/>
          <w:sz w:val="24"/>
        </w:rPr>
        <w:t>（三）合同生效条款由供需双方约定，法律、行政法规规定应当办理批准、登记等手续后生效的合同，依照其规定。</w:t>
      </w:r>
    </w:p>
    <w:p>
      <w:pPr>
        <w:spacing w:line="276" w:lineRule="auto"/>
        <w:ind w:firstLine="480" w:firstLineChars="200"/>
        <w:rPr>
          <w:rFonts w:hint="eastAsia" w:ascii="宋体" w:hAnsi="宋体"/>
          <w:color w:val="auto"/>
          <w:sz w:val="24"/>
        </w:rPr>
      </w:pPr>
      <w:r>
        <w:rPr>
          <w:rFonts w:hint="eastAsia" w:ascii="宋体" w:hAnsi="宋体"/>
          <w:color w:val="auto"/>
          <w:sz w:val="24"/>
        </w:rPr>
        <w:t>（四）合同应按照</w:t>
      </w:r>
      <w:r>
        <w:rPr>
          <w:rFonts w:hint="eastAsia" w:ascii="宋体" w:hAnsi="宋体"/>
          <w:b/>
          <w:bCs/>
          <w:color w:val="auto"/>
          <w:sz w:val="24"/>
        </w:rPr>
        <w:t>本文件第五篇的内容签订、完善，未经采购人同意不得擅自更改</w:t>
      </w:r>
      <w:r>
        <w:rPr>
          <w:rFonts w:hint="eastAsia" w:ascii="宋体" w:hAnsi="宋体"/>
          <w:color w:val="auto"/>
          <w:sz w:val="24"/>
        </w:rPr>
        <w:t>。</w:t>
      </w:r>
    </w:p>
    <w:p>
      <w:pPr>
        <w:spacing w:line="276" w:lineRule="auto"/>
        <w:ind w:firstLine="480" w:firstLineChars="200"/>
        <w:rPr>
          <w:rFonts w:hint="eastAsia" w:ascii="宋体" w:hAnsi="宋体"/>
          <w:color w:val="auto"/>
          <w:sz w:val="24"/>
        </w:rPr>
      </w:pPr>
      <w:r>
        <w:rPr>
          <w:rFonts w:hint="eastAsia" w:ascii="宋体" w:hAnsi="宋体"/>
          <w:color w:val="auto"/>
          <w:sz w:val="24"/>
        </w:rPr>
        <w:t>（五）采购人要求成交供应商提供履约保证金的，应当在磋商文件中予以约定。成交供应商履约完毕后，采购人应于</w:t>
      </w:r>
      <w:r>
        <w:rPr>
          <w:rFonts w:hint="eastAsia" w:ascii="宋体" w:hAnsi="宋体"/>
          <w:b/>
          <w:bCs/>
          <w:color w:val="auto"/>
          <w:sz w:val="24"/>
        </w:rPr>
        <w:t>磋商文件中约定的时间内</w:t>
      </w:r>
      <w:r>
        <w:rPr>
          <w:rFonts w:hint="eastAsia" w:ascii="宋体" w:hAnsi="宋体"/>
          <w:color w:val="auto"/>
          <w:sz w:val="24"/>
        </w:rPr>
        <w:t>无息退还其履约保证金。</w:t>
      </w:r>
    </w:p>
    <w:p>
      <w:pPr>
        <w:spacing w:line="276" w:lineRule="auto"/>
        <w:ind w:right="12" w:firstLine="480"/>
        <w:rPr>
          <w:rFonts w:hint="eastAsia" w:ascii="宋体" w:hAnsi="宋体"/>
          <w:color w:val="auto"/>
          <w:sz w:val="24"/>
        </w:rPr>
      </w:pPr>
    </w:p>
    <w:p>
      <w:pPr>
        <w:pStyle w:val="2"/>
        <w:spacing w:before="0" w:beforeLines="0" w:after="0" w:afterLines="0" w:line="276" w:lineRule="auto"/>
        <w:rPr>
          <w:rFonts w:hint="eastAsia" w:ascii="宋体" w:hAnsi="宋体" w:eastAsia="宋体"/>
          <w:color w:val="auto"/>
        </w:rPr>
      </w:pPr>
      <w:r>
        <w:rPr>
          <w:rFonts w:ascii="宋体" w:hAnsi="宋体" w:eastAsia="宋体"/>
          <w:color w:val="auto"/>
        </w:rPr>
        <w:br w:type="page"/>
      </w:r>
      <w:bookmarkStart w:id="55" w:name="_Toc13978"/>
      <w:r>
        <w:rPr>
          <w:rFonts w:hint="eastAsia" w:ascii="宋体" w:hAnsi="宋体" w:eastAsia="宋体"/>
          <w:color w:val="auto"/>
        </w:rPr>
        <w:t>第五篇  合同</w:t>
      </w:r>
      <w:bookmarkEnd w:id="55"/>
    </w:p>
    <w:p>
      <w:pPr>
        <w:spacing w:line="440" w:lineRule="exact"/>
        <w:rPr>
          <w:rFonts w:hint="eastAsia" w:ascii="宋体" w:hAnsi="宋体"/>
          <w:color w:val="auto"/>
          <w:sz w:val="24"/>
          <w:szCs w:val="24"/>
        </w:rPr>
      </w:pPr>
    </w:p>
    <w:p>
      <w:pPr>
        <w:jc w:val="center"/>
        <w:rPr>
          <w:rFonts w:hint="eastAsia" w:ascii="宋体" w:hAnsi="宋体"/>
          <w:color w:val="auto"/>
          <w:sz w:val="36"/>
          <w:szCs w:val="36"/>
        </w:rPr>
      </w:pPr>
      <w:r>
        <w:rPr>
          <w:rFonts w:hint="eastAsia" w:ascii="宋体" w:hAnsi="宋体" w:cs="Times New Roman"/>
          <w:color w:val="auto"/>
          <w:sz w:val="36"/>
          <w:szCs w:val="36"/>
          <w:lang w:val="en-US" w:eastAsia="zh-CN"/>
        </w:rPr>
        <w:t>透析患者院后管理交付智能平台</w:t>
      </w:r>
      <w:r>
        <w:rPr>
          <w:rFonts w:hint="eastAsia" w:ascii="宋体" w:hAnsi="宋体"/>
          <w:color w:val="auto"/>
          <w:sz w:val="36"/>
          <w:szCs w:val="36"/>
        </w:rPr>
        <w:t>合同</w:t>
      </w:r>
    </w:p>
    <w:p>
      <w:pPr>
        <w:jc w:val="center"/>
        <w:rPr>
          <w:rFonts w:hint="eastAsia" w:ascii="宋体" w:hAnsi="宋体"/>
          <w:color w:val="auto"/>
          <w:sz w:val="36"/>
          <w:szCs w:val="36"/>
        </w:rPr>
      </w:pPr>
      <w:r>
        <w:rPr>
          <w:rFonts w:hint="eastAsia" w:ascii="宋体" w:hAnsi="宋体"/>
          <w:color w:val="auto"/>
          <w:sz w:val="36"/>
          <w:szCs w:val="36"/>
        </w:rPr>
        <w:t>（</w:t>
      </w:r>
      <w:r>
        <w:rPr>
          <w:rFonts w:hint="eastAsia" w:ascii="宋体" w:hAnsi="宋体"/>
          <w:sz w:val="24"/>
          <w:szCs w:val="24"/>
          <w:lang w:eastAsia="zh-CN"/>
        </w:rPr>
        <w:t>项目</w:t>
      </w:r>
      <w:r>
        <w:rPr>
          <w:rFonts w:hint="eastAsia" w:ascii="宋体" w:hAnsi="宋体"/>
          <w:color w:val="auto"/>
          <w:sz w:val="24"/>
          <w:szCs w:val="24"/>
        </w:rPr>
        <w:t>编号：202</w:t>
      </w:r>
      <w:r>
        <w:rPr>
          <w:rFonts w:hint="eastAsia" w:ascii="宋体" w:hAnsi="宋体"/>
          <w:color w:val="auto"/>
          <w:sz w:val="24"/>
          <w:szCs w:val="24"/>
          <w:lang w:val="en-US" w:eastAsia="zh-CN"/>
        </w:rPr>
        <w:t>2</w:t>
      </w:r>
      <w:r>
        <w:rPr>
          <w:rFonts w:hint="eastAsia" w:ascii="宋体" w:hAnsi="宋体"/>
          <w:color w:val="auto"/>
          <w:sz w:val="24"/>
          <w:szCs w:val="24"/>
        </w:rPr>
        <w:t>JYXX-</w:t>
      </w:r>
      <w:r>
        <w:rPr>
          <w:rFonts w:hint="eastAsia" w:ascii="宋体" w:hAnsi="宋体"/>
          <w:color w:val="auto"/>
          <w:sz w:val="24"/>
          <w:szCs w:val="24"/>
          <w:lang w:val="en-US" w:eastAsia="zh-CN"/>
        </w:rPr>
        <w:t>11</w:t>
      </w:r>
      <w:r>
        <w:rPr>
          <w:rFonts w:hint="eastAsia" w:ascii="宋体" w:hAnsi="宋体"/>
          <w:color w:val="auto"/>
          <w:sz w:val="36"/>
          <w:szCs w:val="36"/>
        </w:rPr>
        <w:t>）</w:t>
      </w:r>
    </w:p>
    <w:p>
      <w:pPr>
        <w:rPr>
          <w:rFonts w:hint="eastAsia" w:ascii="宋体" w:hAnsi="宋体"/>
          <w:color w:val="auto"/>
          <w:sz w:val="24"/>
          <w:szCs w:val="24"/>
        </w:rPr>
      </w:pPr>
    </w:p>
    <w:p>
      <w:pPr>
        <w:rPr>
          <w:rFonts w:hint="eastAsia" w:ascii="宋体" w:hAnsi="宋体"/>
          <w:color w:val="auto"/>
          <w:sz w:val="24"/>
          <w:szCs w:val="24"/>
        </w:rPr>
      </w:pPr>
    </w:p>
    <w:p>
      <w:pPr>
        <w:rPr>
          <w:rFonts w:ascii="宋体" w:hAnsi="宋体"/>
          <w:color w:val="auto"/>
          <w:sz w:val="24"/>
          <w:szCs w:val="24"/>
        </w:rPr>
      </w:pPr>
      <w:r>
        <w:rPr>
          <w:rFonts w:hint="eastAsia" w:ascii="宋体" w:hAnsi="宋体"/>
          <w:color w:val="auto"/>
          <w:sz w:val="24"/>
          <w:szCs w:val="24"/>
        </w:rPr>
        <w:t>甲方：</w:t>
      </w:r>
      <w:r>
        <w:rPr>
          <w:rFonts w:hint="eastAsia" w:ascii="宋体" w:hAnsi="宋体"/>
          <w:color w:val="auto"/>
          <w:sz w:val="24"/>
          <w:szCs w:val="24"/>
          <w:u w:val="single"/>
        </w:rPr>
        <w:t xml:space="preserve">  重庆市第九人民医院  </w:t>
      </w:r>
    </w:p>
    <w:p>
      <w:pPr>
        <w:rPr>
          <w:rFonts w:hint="eastAsia" w:ascii="宋体" w:hAnsi="宋体"/>
          <w:color w:val="auto"/>
          <w:sz w:val="24"/>
          <w:szCs w:val="24"/>
        </w:rPr>
      </w:pPr>
      <w:r>
        <w:rPr>
          <w:rFonts w:hint="eastAsia" w:ascii="宋体" w:hAnsi="宋体"/>
          <w:color w:val="auto"/>
          <w:sz w:val="24"/>
          <w:szCs w:val="24"/>
        </w:rPr>
        <w:t>乙方：</w:t>
      </w:r>
      <w:r>
        <w:rPr>
          <w:rFonts w:hint="eastAsia" w:ascii="宋体" w:hAnsi="宋体"/>
          <w:color w:val="auto"/>
          <w:sz w:val="24"/>
          <w:szCs w:val="24"/>
          <w:u w:val="single"/>
        </w:rPr>
        <w:t xml:space="preserve">                      </w:t>
      </w:r>
    </w:p>
    <w:p>
      <w:pPr>
        <w:rPr>
          <w:rFonts w:ascii="宋体" w:hAnsi="宋体"/>
          <w:color w:val="auto"/>
          <w:sz w:val="24"/>
          <w:szCs w:val="24"/>
        </w:rPr>
      </w:pPr>
    </w:p>
    <w:p>
      <w:pPr>
        <w:ind w:firstLine="690"/>
        <w:rPr>
          <w:rFonts w:ascii="宋体" w:hAnsi="宋体"/>
          <w:color w:val="auto"/>
          <w:sz w:val="24"/>
          <w:szCs w:val="24"/>
        </w:rPr>
      </w:pPr>
      <w:r>
        <w:rPr>
          <w:rFonts w:hint="eastAsia" w:ascii="宋体" w:hAnsi="宋体"/>
          <w:color w:val="auto"/>
          <w:sz w:val="24"/>
          <w:szCs w:val="24"/>
        </w:rPr>
        <w:t>根据《中华人民共和国</w:t>
      </w:r>
      <w:r>
        <w:rPr>
          <w:rFonts w:hint="eastAsia" w:ascii="宋体" w:hAnsi="宋体"/>
          <w:color w:val="auto"/>
          <w:sz w:val="24"/>
          <w:szCs w:val="24"/>
          <w:lang w:eastAsia="zh-CN"/>
        </w:rPr>
        <w:t>民法典</w:t>
      </w:r>
      <w:r>
        <w:rPr>
          <w:rFonts w:hint="eastAsia" w:ascii="宋体" w:hAnsi="宋体"/>
          <w:color w:val="auto"/>
          <w:sz w:val="24"/>
          <w:szCs w:val="24"/>
        </w:rPr>
        <w:t>》和《中华人民共和国政府采购法》等有关规定。为保证所购的服务质量，明确双方的权利义务，甲乙双方在平等、自愿、协商一致的基础上，就有关事宜达成如下协议：</w:t>
      </w:r>
    </w:p>
    <w:p>
      <w:pPr>
        <w:spacing w:before="120" w:beforeLines="50"/>
        <w:rPr>
          <w:rFonts w:ascii="宋体" w:hAnsi="宋体"/>
          <w:b/>
          <w:color w:val="auto"/>
          <w:sz w:val="24"/>
          <w:szCs w:val="24"/>
        </w:rPr>
      </w:pPr>
      <w:r>
        <w:rPr>
          <w:rFonts w:hint="eastAsia" w:ascii="宋体" w:hAnsi="宋体"/>
          <w:b/>
          <w:color w:val="auto"/>
          <w:sz w:val="24"/>
          <w:szCs w:val="24"/>
        </w:rPr>
        <w:t>第一条：合同范围</w:t>
      </w:r>
    </w:p>
    <w:p>
      <w:pPr>
        <w:spacing w:line="400" w:lineRule="exact"/>
        <w:ind w:firstLine="480" w:firstLineChars="200"/>
        <w:rPr>
          <w:rFonts w:ascii="宋体" w:hAnsi="宋体" w:cs="方正仿宋_GBK"/>
          <w:color w:val="auto"/>
          <w:sz w:val="24"/>
          <w:szCs w:val="24"/>
        </w:rPr>
      </w:pPr>
      <w:r>
        <w:rPr>
          <w:rFonts w:hint="eastAsia" w:ascii="宋体" w:hAnsi="宋体" w:cs="方正仿宋_GBK"/>
          <w:color w:val="auto"/>
          <w:sz w:val="24"/>
          <w:szCs w:val="24"/>
        </w:rPr>
        <w:t>1、项目名称：</w:t>
      </w:r>
    </w:p>
    <w:p>
      <w:pPr>
        <w:spacing w:line="400" w:lineRule="exact"/>
        <w:ind w:firstLine="480" w:firstLineChars="200"/>
        <w:rPr>
          <w:rFonts w:ascii="宋体" w:hAnsi="宋体" w:cs="方正仿宋_GBK"/>
          <w:color w:val="auto"/>
          <w:sz w:val="24"/>
          <w:szCs w:val="24"/>
        </w:rPr>
      </w:pPr>
      <w:r>
        <w:rPr>
          <w:rFonts w:hint="eastAsia" w:ascii="宋体" w:hAnsi="宋体" w:cs="方正仿宋_GBK"/>
          <w:color w:val="auto"/>
          <w:sz w:val="24"/>
          <w:szCs w:val="24"/>
        </w:rPr>
        <w:t>2、项目范围或内容：</w:t>
      </w:r>
    </w:p>
    <w:p>
      <w:pPr>
        <w:spacing w:before="120" w:beforeLines="50"/>
        <w:rPr>
          <w:rFonts w:ascii="宋体" w:hAnsi="宋体"/>
          <w:b/>
          <w:color w:val="auto"/>
          <w:sz w:val="24"/>
          <w:szCs w:val="24"/>
        </w:rPr>
      </w:pPr>
      <w:r>
        <w:rPr>
          <w:rFonts w:hint="eastAsia" w:ascii="宋体" w:hAnsi="宋体"/>
          <w:b/>
          <w:color w:val="auto"/>
          <w:sz w:val="24"/>
          <w:szCs w:val="24"/>
        </w:rPr>
        <w:t>第二条：</w:t>
      </w:r>
      <w:r>
        <w:rPr>
          <w:rFonts w:hint="eastAsia" w:ascii="宋体" w:hAnsi="宋体" w:cs="仿宋"/>
          <w:b/>
          <w:color w:val="auto"/>
          <w:sz w:val="24"/>
        </w:rPr>
        <w:t>合同金额及付款方式</w:t>
      </w:r>
    </w:p>
    <w:p>
      <w:pPr>
        <w:ind w:firstLine="480" w:firstLineChars="200"/>
        <w:rPr>
          <w:rFonts w:hint="eastAsia" w:ascii="宋体" w:hAnsi="宋体" w:cs="仿宋"/>
          <w:color w:val="auto"/>
          <w:sz w:val="24"/>
          <w:u w:val="single"/>
        </w:rPr>
      </w:pPr>
      <w:r>
        <w:rPr>
          <w:rFonts w:hint="eastAsia" w:ascii="宋体" w:hAnsi="宋体" w:eastAsia="宋体" w:cs="Times New Roman"/>
          <w:color w:val="auto"/>
          <w:sz w:val="24"/>
          <w:szCs w:val="24"/>
          <w:lang w:val="en-US" w:eastAsia="zh-CN"/>
        </w:rPr>
        <w:t>1、</w:t>
      </w:r>
      <w:r>
        <w:rPr>
          <w:rFonts w:hint="eastAsia" w:ascii="宋体" w:hAnsi="宋体" w:eastAsia="宋体" w:cs="Times New Roman"/>
          <w:color w:val="auto"/>
          <w:sz w:val="24"/>
          <w:szCs w:val="24"/>
        </w:rPr>
        <w:t>合同</w:t>
      </w:r>
      <w:r>
        <w:rPr>
          <w:rFonts w:hint="eastAsia" w:ascii="宋体" w:hAnsi="宋体" w:eastAsia="宋体" w:cs="Times New Roman"/>
          <w:color w:val="auto"/>
          <w:sz w:val="24"/>
          <w:szCs w:val="24"/>
          <w:lang w:eastAsia="zh-CN"/>
        </w:rPr>
        <w:t>总价</w:t>
      </w:r>
      <w:r>
        <w:rPr>
          <w:rFonts w:hint="eastAsia" w:ascii="宋体" w:hAnsi="宋体" w:cs="仿宋"/>
          <w:color w:val="auto"/>
          <w:sz w:val="24"/>
        </w:rPr>
        <w:t>：</w:t>
      </w:r>
      <w:r>
        <w:rPr>
          <w:rFonts w:hint="eastAsia" w:ascii="宋体" w:hAnsi="宋体" w:cs="仿宋"/>
          <w:color w:val="auto"/>
          <w:sz w:val="24"/>
          <w:u w:val="single"/>
        </w:rPr>
        <w:t xml:space="preserve">      </w:t>
      </w:r>
      <w:r>
        <w:rPr>
          <w:rFonts w:hint="eastAsia" w:ascii="宋体" w:hAnsi="宋体" w:cs="仿宋"/>
          <w:color w:val="auto"/>
          <w:sz w:val="24"/>
        </w:rPr>
        <w:t>元，大写：</w:t>
      </w:r>
      <w:r>
        <w:rPr>
          <w:rFonts w:hint="eastAsia" w:ascii="宋体" w:hAnsi="宋体" w:cs="仿宋"/>
          <w:color w:val="auto"/>
          <w:sz w:val="24"/>
          <w:u w:val="single"/>
        </w:rPr>
        <w:t xml:space="preserve">                    </w:t>
      </w:r>
    </w:p>
    <w:p>
      <w:pPr>
        <w:ind w:firstLine="480" w:firstLineChars="200"/>
        <w:rPr>
          <w:rFonts w:hint="eastAsia" w:ascii="宋体" w:hAnsi="宋体" w:eastAsia="宋体" w:cs="Times New Roman"/>
          <w:color w:val="auto"/>
          <w:sz w:val="24"/>
          <w:szCs w:val="24"/>
          <w:lang w:eastAsia="zh-CN"/>
        </w:rPr>
      </w:pPr>
      <w:r>
        <w:rPr>
          <w:rFonts w:hint="eastAsia" w:ascii="宋体" w:hAnsi="宋体"/>
          <w:color w:val="auto"/>
          <w:sz w:val="24"/>
          <w:szCs w:val="24"/>
        </w:rPr>
        <w:t>2、</w:t>
      </w:r>
      <w:r>
        <w:rPr>
          <w:rFonts w:hint="eastAsia" w:ascii="宋体" w:hAnsi="宋体"/>
          <w:color w:val="auto"/>
          <w:sz w:val="24"/>
          <w:szCs w:val="24"/>
          <w:lang w:eastAsia="zh-CN"/>
        </w:rPr>
        <w:t>无预付款，项目验收合格</w:t>
      </w:r>
      <w:r>
        <w:rPr>
          <w:rFonts w:hint="eastAsia" w:ascii="宋体" w:hAnsi="宋体"/>
          <w:color w:val="auto"/>
          <w:sz w:val="24"/>
          <w:szCs w:val="24"/>
        </w:rPr>
        <w:t>后</w:t>
      </w:r>
      <w:r>
        <w:rPr>
          <w:rFonts w:hint="eastAsia" w:ascii="宋体" w:hAnsi="宋体"/>
          <w:color w:val="auto"/>
          <w:sz w:val="24"/>
          <w:szCs w:val="24"/>
          <w:lang w:val="en-US" w:eastAsia="zh-CN"/>
        </w:rPr>
        <w:t>30</w:t>
      </w:r>
      <w:r>
        <w:rPr>
          <w:rFonts w:hint="eastAsia" w:ascii="宋体" w:hAnsi="宋体"/>
          <w:color w:val="auto"/>
          <w:sz w:val="24"/>
          <w:szCs w:val="24"/>
        </w:rPr>
        <w:t>日内一次性</w:t>
      </w:r>
      <w:r>
        <w:rPr>
          <w:rFonts w:hint="eastAsia" w:ascii="宋体" w:hAnsi="宋体"/>
          <w:color w:val="auto"/>
          <w:sz w:val="24"/>
          <w:szCs w:val="24"/>
          <w:lang w:eastAsia="zh-CN"/>
        </w:rPr>
        <w:t>付清合同全款</w:t>
      </w:r>
      <w:r>
        <w:rPr>
          <w:rFonts w:hint="eastAsia" w:ascii="宋体" w:hAnsi="宋体"/>
          <w:color w:val="auto"/>
          <w:sz w:val="24"/>
          <w:szCs w:val="24"/>
        </w:rPr>
        <w:t>。</w:t>
      </w:r>
    </w:p>
    <w:p>
      <w:pPr>
        <w:spacing w:before="120" w:beforeLines="50"/>
        <w:rPr>
          <w:rFonts w:ascii="宋体" w:hAnsi="宋体"/>
          <w:b/>
          <w:color w:val="auto"/>
          <w:sz w:val="24"/>
          <w:szCs w:val="24"/>
        </w:rPr>
      </w:pPr>
      <w:r>
        <w:rPr>
          <w:rFonts w:hint="eastAsia" w:ascii="宋体" w:hAnsi="宋体" w:cs="仿宋"/>
          <w:b/>
          <w:color w:val="auto"/>
          <w:sz w:val="24"/>
        </w:rPr>
        <w:t>第三条：</w:t>
      </w:r>
      <w:r>
        <w:rPr>
          <w:rFonts w:hint="eastAsia" w:ascii="宋体" w:hAnsi="宋体"/>
          <w:b/>
          <w:color w:val="auto"/>
          <w:sz w:val="24"/>
          <w:szCs w:val="24"/>
        </w:rPr>
        <w:t>服务项目及要求</w:t>
      </w:r>
    </w:p>
    <w:p>
      <w:pPr>
        <w:snapToGrid w:val="0"/>
        <w:spacing w:line="400" w:lineRule="exact"/>
        <w:ind w:firstLine="480" w:firstLineChars="200"/>
        <w:rPr>
          <w:rFonts w:ascii="宋体" w:hAnsi="宋体" w:cs="PMingLiU"/>
          <w:color w:val="auto"/>
          <w:kern w:val="0"/>
          <w:sz w:val="24"/>
          <w:szCs w:val="24"/>
        </w:rPr>
      </w:pPr>
      <w:r>
        <w:rPr>
          <w:rFonts w:hint="eastAsia" w:ascii="宋体" w:hAnsi="宋体" w:cs="PMingLiU"/>
          <w:color w:val="auto"/>
          <w:kern w:val="0"/>
          <w:sz w:val="24"/>
          <w:szCs w:val="24"/>
        </w:rPr>
        <w:t>1、交付期（工期）：</w:t>
      </w:r>
      <w:r>
        <w:rPr>
          <w:rFonts w:hint="eastAsia" w:ascii="宋体" w:hAnsi="宋体" w:cs="方正仿宋_GBK"/>
          <w:color w:val="auto"/>
          <w:kern w:val="0"/>
          <w:sz w:val="24"/>
          <w:szCs w:val="28"/>
        </w:rPr>
        <w:t>从签订合同之日起</w:t>
      </w:r>
      <w:r>
        <w:rPr>
          <w:rFonts w:hint="eastAsia" w:ascii="宋体" w:hAnsi="宋体" w:cs="方正仿宋_GBK"/>
          <w:color w:val="auto"/>
          <w:kern w:val="0"/>
          <w:sz w:val="24"/>
          <w:szCs w:val="28"/>
          <w:u w:val="single"/>
        </w:rPr>
        <w:t xml:space="preserve">    </w:t>
      </w:r>
      <w:r>
        <w:rPr>
          <w:rFonts w:hint="eastAsia" w:ascii="宋体" w:hAnsi="宋体" w:cs="方正仿宋_GBK"/>
          <w:color w:val="auto"/>
          <w:kern w:val="0"/>
          <w:sz w:val="24"/>
          <w:szCs w:val="28"/>
        </w:rPr>
        <w:t>日内交付正常使用。</w:t>
      </w:r>
    </w:p>
    <w:p>
      <w:pPr>
        <w:snapToGrid w:val="0"/>
        <w:spacing w:line="400" w:lineRule="exact"/>
        <w:ind w:firstLine="480" w:firstLineChars="200"/>
        <w:rPr>
          <w:rFonts w:ascii="宋体" w:hAnsi="宋体" w:cs="PMingLiU"/>
          <w:color w:val="auto"/>
          <w:kern w:val="0"/>
          <w:sz w:val="24"/>
          <w:szCs w:val="24"/>
        </w:rPr>
      </w:pPr>
      <w:r>
        <w:rPr>
          <w:rFonts w:hint="eastAsia" w:ascii="宋体" w:hAnsi="宋体" w:cs="PMingLiU"/>
          <w:color w:val="auto"/>
          <w:kern w:val="0"/>
          <w:sz w:val="24"/>
          <w:szCs w:val="24"/>
        </w:rPr>
        <w:t>2、交付地点：甲方指定地点</w:t>
      </w:r>
    </w:p>
    <w:p>
      <w:pPr>
        <w:spacing w:line="400" w:lineRule="exact"/>
        <w:ind w:firstLine="480" w:firstLineChars="200"/>
        <w:rPr>
          <w:rFonts w:ascii="宋体" w:hAnsi="宋体" w:cs="方正仿宋_GBK"/>
          <w:color w:val="auto"/>
          <w:sz w:val="24"/>
          <w:szCs w:val="24"/>
        </w:rPr>
      </w:pPr>
      <w:r>
        <w:rPr>
          <w:rFonts w:hint="eastAsia" w:ascii="宋体" w:hAnsi="宋体" w:cs="方正仿宋_GBK"/>
          <w:color w:val="auto"/>
          <w:sz w:val="24"/>
          <w:szCs w:val="24"/>
        </w:rPr>
        <w:t>4、产品质量保证期</w:t>
      </w:r>
      <w:r>
        <w:rPr>
          <w:rFonts w:hint="eastAsia" w:ascii="宋体" w:hAnsi="宋体" w:cs="方正仿宋_GBK"/>
          <w:color w:val="auto"/>
          <w:sz w:val="24"/>
          <w:szCs w:val="24"/>
          <w:lang w:val="en-US" w:eastAsia="zh-CN"/>
        </w:rPr>
        <w:t>(服务期)</w:t>
      </w:r>
      <w:r>
        <w:rPr>
          <w:rFonts w:hint="eastAsia" w:ascii="宋体" w:hAnsi="宋体" w:cs="方正仿宋_GBK"/>
          <w:color w:val="auto"/>
          <w:sz w:val="24"/>
          <w:szCs w:val="24"/>
        </w:rPr>
        <w:t>：</w:t>
      </w:r>
      <w:r>
        <w:rPr>
          <w:rFonts w:hint="eastAsia" w:ascii="宋体" w:hAnsi="宋体" w:cs="方正仿宋_GBK"/>
          <w:color w:val="auto"/>
          <w:sz w:val="24"/>
          <w:szCs w:val="24"/>
          <w:u w:val="single"/>
        </w:rPr>
        <w:t xml:space="preserve">    年</w:t>
      </w:r>
      <w:r>
        <w:rPr>
          <w:rFonts w:hint="eastAsia" w:ascii="宋体" w:hAnsi="宋体" w:cs="方正仿宋_GBK"/>
          <w:color w:val="auto"/>
          <w:sz w:val="24"/>
          <w:szCs w:val="24"/>
        </w:rPr>
        <w:t>，从项目验收合格之日算起。</w:t>
      </w:r>
    </w:p>
    <w:p>
      <w:pPr>
        <w:spacing w:before="120" w:beforeLines="50"/>
        <w:rPr>
          <w:rFonts w:ascii="宋体" w:hAnsi="宋体"/>
          <w:b/>
          <w:color w:val="auto"/>
          <w:sz w:val="24"/>
          <w:szCs w:val="24"/>
        </w:rPr>
      </w:pPr>
      <w:r>
        <w:rPr>
          <w:rFonts w:hint="eastAsia" w:ascii="宋体" w:hAnsi="宋体"/>
          <w:b/>
          <w:color w:val="auto"/>
          <w:sz w:val="24"/>
          <w:szCs w:val="24"/>
        </w:rPr>
        <w:t>第五条：合同期限与终止</w:t>
      </w:r>
    </w:p>
    <w:p>
      <w:pPr>
        <w:ind w:firstLine="480" w:firstLineChars="200"/>
        <w:rPr>
          <w:rFonts w:ascii="宋体" w:hAnsi="宋体" w:cs="方正仿宋_GBK"/>
          <w:color w:val="auto"/>
          <w:sz w:val="24"/>
          <w:szCs w:val="24"/>
        </w:rPr>
      </w:pPr>
      <w:r>
        <w:rPr>
          <w:rFonts w:hint="eastAsia" w:ascii="宋体" w:hAnsi="宋体" w:cs="方正仿宋_GBK"/>
          <w:color w:val="auto"/>
          <w:sz w:val="24"/>
          <w:szCs w:val="24"/>
        </w:rPr>
        <w:t>1、合同期限：从本合同生效之日起，直至质量保证期满且无争议或纠纷时止。</w:t>
      </w:r>
    </w:p>
    <w:p>
      <w:pPr>
        <w:ind w:firstLine="480" w:firstLineChars="200"/>
        <w:rPr>
          <w:rFonts w:ascii="宋体" w:hAnsi="宋体" w:cs="方正仿宋_GBK"/>
          <w:color w:val="auto"/>
          <w:sz w:val="24"/>
          <w:szCs w:val="24"/>
        </w:rPr>
      </w:pPr>
      <w:r>
        <w:rPr>
          <w:rFonts w:hint="eastAsia" w:ascii="宋体" w:hAnsi="宋体" w:cs="方正仿宋_GBK"/>
          <w:color w:val="auto"/>
          <w:sz w:val="24"/>
          <w:szCs w:val="24"/>
        </w:rPr>
        <w:t>2、合同的终止</w:t>
      </w:r>
    </w:p>
    <w:p>
      <w:pPr>
        <w:ind w:firstLine="480" w:firstLineChars="200"/>
        <w:rPr>
          <w:rFonts w:ascii="宋体" w:hAnsi="宋体" w:cs="方正仿宋_GBK"/>
          <w:color w:val="auto"/>
          <w:sz w:val="24"/>
          <w:szCs w:val="24"/>
        </w:rPr>
      </w:pPr>
      <w:r>
        <w:rPr>
          <w:rFonts w:hint="eastAsia" w:ascii="宋体" w:hAnsi="宋体" w:cs="方正仿宋_GBK"/>
          <w:color w:val="auto"/>
          <w:sz w:val="24"/>
          <w:szCs w:val="24"/>
        </w:rPr>
        <w:t>（1）合同期满，双方未续签的；</w:t>
      </w:r>
    </w:p>
    <w:p>
      <w:pPr>
        <w:ind w:firstLine="480" w:firstLineChars="200"/>
        <w:rPr>
          <w:rFonts w:ascii="宋体" w:hAnsi="宋体" w:cs="方正仿宋_GBK"/>
          <w:color w:val="auto"/>
          <w:sz w:val="24"/>
          <w:szCs w:val="24"/>
        </w:rPr>
      </w:pPr>
      <w:r>
        <w:rPr>
          <w:rFonts w:hint="eastAsia" w:ascii="宋体" w:hAnsi="宋体" w:cs="方正仿宋_GBK"/>
          <w:color w:val="auto"/>
          <w:sz w:val="24"/>
          <w:szCs w:val="24"/>
        </w:rPr>
        <w:t>（2）乙方服务能力丧失，致使服务无法正常进行的；</w:t>
      </w:r>
    </w:p>
    <w:p>
      <w:pPr>
        <w:ind w:firstLine="480" w:firstLineChars="200"/>
        <w:rPr>
          <w:rFonts w:ascii="宋体" w:hAnsi="宋体"/>
          <w:b/>
          <w:bCs/>
          <w:color w:val="auto"/>
          <w:sz w:val="24"/>
          <w:szCs w:val="24"/>
        </w:rPr>
      </w:pPr>
      <w:r>
        <w:rPr>
          <w:rFonts w:hint="eastAsia" w:ascii="宋体" w:hAnsi="宋体" w:cs="方正仿宋_GBK"/>
          <w:color w:val="auto"/>
          <w:sz w:val="24"/>
          <w:szCs w:val="24"/>
        </w:rPr>
        <w:t>（3）在履行合同过程中，乙方未按甲方要求或合同约定提供服务，可能造成项目延迟交付或验收，甲方有权立即终止合同，并按本合同第八条处理。</w:t>
      </w:r>
      <w:r>
        <w:rPr>
          <w:rFonts w:hint="eastAsia" w:ascii="宋体" w:hAnsi="宋体"/>
          <w:b/>
          <w:bCs/>
          <w:color w:val="auto"/>
          <w:sz w:val="24"/>
          <w:szCs w:val="24"/>
        </w:rPr>
        <w:t xml:space="preserve"> </w:t>
      </w:r>
    </w:p>
    <w:p>
      <w:pPr>
        <w:spacing w:before="120" w:beforeLines="50"/>
        <w:rPr>
          <w:rFonts w:ascii="宋体" w:hAnsi="宋体"/>
          <w:b/>
          <w:color w:val="auto"/>
          <w:sz w:val="24"/>
          <w:szCs w:val="24"/>
        </w:rPr>
      </w:pPr>
      <w:r>
        <w:rPr>
          <w:rFonts w:hint="eastAsia" w:ascii="宋体" w:hAnsi="宋体"/>
          <w:b/>
          <w:color w:val="auto"/>
          <w:sz w:val="24"/>
          <w:szCs w:val="24"/>
        </w:rPr>
        <w:t>第六条：项目考核验收</w:t>
      </w:r>
    </w:p>
    <w:p>
      <w:pPr>
        <w:snapToGrid w:val="0"/>
        <w:spacing w:line="276" w:lineRule="auto"/>
        <w:ind w:firstLine="480" w:firstLineChars="200"/>
        <w:rPr>
          <w:rFonts w:ascii="宋体" w:hAnsi="宋体" w:cs="方正仿宋_GBK"/>
          <w:color w:val="auto"/>
          <w:kern w:val="0"/>
          <w:sz w:val="24"/>
          <w:szCs w:val="28"/>
        </w:rPr>
      </w:pPr>
      <w:r>
        <w:rPr>
          <w:rFonts w:hint="eastAsia" w:ascii="宋体" w:hAnsi="宋体" w:cs="方正仿宋_GBK"/>
          <w:color w:val="auto"/>
          <w:kern w:val="0"/>
          <w:sz w:val="24"/>
          <w:szCs w:val="28"/>
        </w:rPr>
        <w:t>1、由甲方组织验收。</w:t>
      </w:r>
    </w:p>
    <w:p>
      <w:pPr>
        <w:ind w:firstLine="480" w:firstLineChars="200"/>
        <w:rPr>
          <w:rFonts w:hint="eastAsia" w:ascii="宋体" w:hAnsi="宋体"/>
          <w:color w:val="auto"/>
          <w:sz w:val="24"/>
          <w:szCs w:val="24"/>
        </w:rPr>
      </w:pPr>
      <w:r>
        <w:rPr>
          <w:rFonts w:hint="eastAsia" w:ascii="宋体" w:hAnsi="宋体"/>
          <w:color w:val="auto"/>
          <w:sz w:val="24"/>
          <w:szCs w:val="24"/>
        </w:rPr>
        <w:t>2、验收标准：招投标文件、医疗行业规范标准或惯例、医疗行业从业人员常用习惯、合同约定等。</w:t>
      </w:r>
    </w:p>
    <w:p>
      <w:pPr>
        <w:ind w:firstLine="480" w:firstLineChars="200"/>
        <w:rPr>
          <w:rFonts w:hint="eastAsia" w:ascii="宋体" w:hAnsi="宋体"/>
          <w:color w:val="auto"/>
          <w:sz w:val="24"/>
          <w:szCs w:val="24"/>
        </w:rPr>
      </w:pPr>
      <w:r>
        <w:rPr>
          <w:rFonts w:hint="eastAsia" w:ascii="宋体" w:hAnsi="宋体"/>
          <w:color w:val="auto"/>
          <w:sz w:val="24"/>
          <w:szCs w:val="24"/>
        </w:rPr>
        <w:t>3、验收：项目试用效果良好，达到验收条件，乙方向甲方申请验收；经验收合格，甲方出具项目验收报告，验收合格报告作为付款必备条件和质保期起算的依据。</w:t>
      </w:r>
    </w:p>
    <w:p>
      <w:pPr>
        <w:ind w:firstLine="480" w:firstLineChars="200"/>
        <w:rPr>
          <w:rFonts w:hint="eastAsia" w:ascii="宋体" w:hAnsi="宋体"/>
          <w:color w:val="auto"/>
          <w:sz w:val="24"/>
          <w:szCs w:val="24"/>
        </w:rPr>
      </w:pPr>
      <w:r>
        <w:rPr>
          <w:rFonts w:hint="eastAsia" w:ascii="宋体" w:hAnsi="宋体"/>
          <w:color w:val="auto"/>
          <w:sz w:val="24"/>
          <w:szCs w:val="24"/>
        </w:rPr>
        <w:t>4、在合同约定工期内未达到验收合格，按本合同第八条处理。</w:t>
      </w:r>
    </w:p>
    <w:p>
      <w:pPr>
        <w:spacing w:before="120" w:beforeLines="50"/>
        <w:rPr>
          <w:rFonts w:ascii="宋体" w:hAnsi="宋体"/>
          <w:b/>
          <w:color w:val="auto"/>
          <w:sz w:val="24"/>
          <w:szCs w:val="24"/>
        </w:rPr>
      </w:pPr>
      <w:r>
        <w:rPr>
          <w:rFonts w:hint="eastAsia" w:ascii="宋体" w:hAnsi="宋体"/>
          <w:b/>
          <w:color w:val="auto"/>
          <w:sz w:val="24"/>
          <w:szCs w:val="24"/>
        </w:rPr>
        <w:t>第七条：双方权利和义务</w:t>
      </w:r>
    </w:p>
    <w:p>
      <w:pPr>
        <w:ind w:firstLine="480" w:firstLineChars="200"/>
        <w:rPr>
          <w:rFonts w:ascii="宋体" w:hAnsi="宋体"/>
          <w:color w:val="auto"/>
          <w:sz w:val="24"/>
          <w:szCs w:val="24"/>
        </w:rPr>
      </w:pPr>
      <w:r>
        <w:rPr>
          <w:rFonts w:hint="eastAsia" w:ascii="宋体" w:hAnsi="宋体"/>
          <w:color w:val="auto"/>
          <w:sz w:val="24"/>
          <w:szCs w:val="24"/>
        </w:rPr>
        <w:t>（一）甲方权利、义务</w:t>
      </w:r>
    </w:p>
    <w:p>
      <w:pPr>
        <w:ind w:firstLine="480" w:firstLineChars="200"/>
        <w:rPr>
          <w:rFonts w:ascii="宋体" w:hAnsi="宋体"/>
          <w:color w:val="auto"/>
          <w:sz w:val="24"/>
          <w:szCs w:val="24"/>
        </w:rPr>
      </w:pPr>
      <w:r>
        <w:rPr>
          <w:rFonts w:hint="eastAsia" w:ascii="宋体" w:hAnsi="宋体"/>
          <w:color w:val="auto"/>
          <w:sz w:val="24"/>
          <w:szCs w:val="24"/>
        </w:rPr>
        <w:t>1、甲方有权对项目进行全程跟踪和监督，并对乙方进行的服务进行考核。</w:t>
      </w:r>
    </w:p>
    <w:p>
      <w:pPr>
        <w:ind w:firstLine="480" w:firstLineChars="200"/>
        <w:rPr>
          <w:rFonts w:hint="eastAsia" w:ascii="宋体" w:hAnsi="宋体"/>
          <w:color w:val="auto"/>
          <w:sz w:val="24"/>
          <w:szCs w:val="24"/>
        </w:rPr>
      </w:pPr>
      <w:r>
        <w:rPr>
          <w:rFonts w:hint="eastAsia" w:ascii="宋体" w:hAnsi="宋体"/>
          <w:color w:val="auto"/>
          <w:sz w:val="24"/>
          <w:szCs w:val="24"/>
        </w:rPr>
        <w:t>2、协调乙方在提供服务过程相关的政府部门和单位。</w:t>
      </w:r>
    </w:p>
    <w:p>
      <w:pPr>
        <w:ind w:firstLine="480" w:firstLineChars="200"/>
        <w:rPr>
          <w:rFonts w:ascii="宋体" w:hAnsi="宋体"/>
          <w:color w:val="auto"/>
          <w:sz w:val="24"/>
          <w:szCs w:val="24"/>
        </w:rPr>
      </w:pPr>
      <w:r>
        <w:rPr>
          <w:rFonts w:hint="eastAsia" w:ascii="宋体" w:hAnsi="宋体"/>
          <w:color w:val="auto"/>
          <w:sz w:val="24"/>
          <w:szCs w:val="24"/>
        </w:rPr>
        <w:t>3、一旦发现本项目可能延期交互或难以通过项目验收，有权立即终止合同，更换中标人、另行签订合同，以满足本项目的按期验收合格。</w:t>
      </w:r>
    </w:p>
    <w:p>
      <w:pPr>
        <w:ind w:firstLine="480" w:firstLineChars="200"/>
        <w:rPr>
          <w:rFonts w:ascii="宋体" w:hAnsi="宋体"/>
          <w:color w:val="auto"/>
          <w:sz w:val="24"/>
          <w:szCs w:val="24"/>
        </w:rPr>
      </w:pPr>
      <w:r>
        <w:rPr>
          <w:rFonts w:hint="eastAsia" w:ascii="宋体" w:hAnsi="宋体"/>
          <w:color w:val="auto"/>
          <w:sz w:val="24"/>
          <w:szCs w:val="24"/>
        </w:rPr>
        <w:t>（二）乙方权利、义务</w:t>
      </w:r>
    </w:p>
    <w:p>
      <w:pPr>
        <w:ind w:firstLine="480" w:firstLineChars="200"/>
        <w:rPr>
          <w:rFonts w:ascii="宋体" w:hAnsi="宋体"/>
          <w:color w:val="auto"/>
          <w:sz w:val="24"/>
          <w:szCs w:val="24"/>
        </w:rPr>
      </w:pPr>
      <w:r>
        <w:rPr>
          <w:rFonts w:hint="eastAsia" w:ascii="宋体" w:hAnsi="宋体"/>
          <w:color w:val="auto"/>
          <w:sz w:val="24"/>
          <w:szCs w:val="24"/>
        </w:rPr>
        <w:t>1、乙方可要求甲方按本合同规定按时足额付款。</w:t>
      </w:r>
    </w:p>
    <w:p>
      <w:pPr>
        <w:ind w:firstLine="480" w:firstLineChars="200"/>
        <w:rPr>
          <w:rFonts w:ascii="宋体" w:hAnsi="宋体"/>
          <w:color w:val="auto"/>
          <w:sz w:val="24"/>
          <w:szCs w:val="24"/>
        </w:rPr>
      </w:pPr>
      <w:r>
        <w:rPr>
          <w:rFonts w:hint="eastAsia" w:ascii="宋体" w:hAnsi="宋体"/>
          <w:color w:val="auto"/>
          <w:sz w:val="24"/>
          <w:szCs w:val="24"/>
        </w:rPr>
        <w:t>2、乙方不得将服务项目委托给第三人；在履行合同过程中，必须接受甲方监督，满足质量、工期和保证合格验收要求。当可能延期交付或难以保证结果时，应同意甲方立即更换中标人。</w:t>
      </w:r>
    </w:p>
    <w:p>
      <w:pPr>
        <w:spacing w:before="120" w:beforeLines="50"/>
        <w:rPr>
          <w:rFonts w:hint="eastAsia" w:ascii="宋体" w:hAnsi="宋体"/>
          <w:b/>
          <w:color w:val="auto"/>
          <w:sz w:val="24"/>
          <w:szCs w:val="24"/>
        </w:rPr>
      </w:pPr>
      <w:r>
        <w:rPr>
          <w:rFonts w:hint="eastAsia" w:ascii="宋体" w:hAnsi="宋体"/>
          <w:b/>
          <w:color w:val="auto"/>
          <w:sz w:val="24"/>
          <w:szCs w:val="24"/>
        </w:rPr>
        <w:t>第八条：争议及违约处理</w:t>
      </w:r>
    </w:p>
    <w:p>
      <w:pPr>
        <w:ind w:firstLine="480" w:firstLineChars="200"/>
        <w:rPr>
          <w:rFonts w:ascii="宋体" w:hAnsi="宋体"/>
          <w:color w:val="auto"/>
          <w:sz w:val="24"/>
          <w:szCs w:val="24"/>
        </w:rPr>
      </w:pPr>
      <w:r>
        <w:rPr>
          <w:rFonts w:hint="eastAsia" w:ascii="宋体" w:hAnsi="宋体"/>
          <w:color w:val="auto"/>
          <w:sz w:val="24"/>
          <w:szCs w:val="24"/>
        </w:rPr>
        <w:t>本合同在签订或履行过程中发生争议，由甲乙双方协商解决，协商不成的，先按以下方式处理，待甲方针对本项目正式验收合格后，再另行向甲方所在地人民法院提起诉讼。</w:t>
      </w:r>
    </w:p>
    <w:p>
      <w:pPr>
        <w:ind w:firstLine="480" w:firstLineChars="200"/>
        <w:rPr>
          <w:rFonts w:hint="eastAsia" w:ascii="宋体" w:hAnsi="宋体"/>
          <w:color w:val="auto"/>
          <w:sz w:val="24"/>
          <w:szCs w:val="24"/>
        </w:rPr>
      </w:pPr>
      <w:r>
        <w:rPr>
          <w:rFonts w:hint="eastAsia" w:ascii="宋体" w:hAnsi="宋体"/>
          <w:color w:val="auto"/>
          <w:sz w:val="24"/>
          <w:szCs w:val="24"/>
        </w:rPr>
        <w:t>1、未能签订合同或在交付期内未能通过正式验收，甲方不退还履约保证金，且乙方按甲方</w:t>
      </w:r>
      <w:r>
        <w:rPr>
          <w:rFonts w:ascii="宋体" w:hAnsi="宋体"/>
          <w:color w:val="auto"/>
          <w:sz w:val="24"/>
          <w:szCs w:val="24"/>
        </w:rPr>
        <w:t>损失</w:t>
      </w:r>
      <w:r>
        <w:rPr>
          <w:rFonts w:hint="eastAsia" w:ascii="宋体" w:hAnsi="宋体"/>
          <w:color w:val="auto"/>
          <w:sz w:val="24"/>
          <w:szCs w:val="24"/>
        </w:rPr>
        <w:t>的</w:t>
      </w:r>
      <w:r>
        <w:rPr>
          <w:rFonts w:ascii="宋体" w:hAnsi="宋体"/>
          <w:color w:val="auto"/>
          <w:sz w:val="24"/>
          <w:szCs w:val="24"/>
        </w:rPr>
        <w:t>13</w:t>
      </w:r>
      <w:r>
        <w:rPr>
          <w:rFonts w:hint="eastAsia" w:ascii="宋体" w:hAnsi="宋体"/>
          <w:color w:val="auto"/>
          <w:sz w:val="24"/>
          <w:szCs w:val="24"/>
        </w:rPr>
        <w:t>0%向甲方支付违</w:t>
      </w:r>
      <w:r>
        <w:rPr>
          <w:rFonts w:ascii="宋体" w:hAnsi="宋体"/>
          <w:color w:val="auto"/>
          <w:sz w:val="24"/>
          <w:szCs w:val="24"/>
        </w:rPr>
        <w:t>约金</w:t>
      </w:r>
      <w:r>
        <w:rPr>
          <w:rFonts w:hint="eastAsia" w:ascii="宋体" w:hAnsi="宋体"/>
          <w:color w:val="auto"/>
          <w:sz w:val="24"/>
          <w:szCs w:val="24"/>
        </w:rPr>
        <w:t>。</w:t>
      </w:r>
    </w:p>
    <w:p>
      <w:pPr>
        <w:ind w:firstLine="480" w:firstLineChars="200"/>
        <w:rPr>
          <w:rFonts w:hint="eastAsia" w:ascii="宋体" w:hAnsi="宋体"/>
          <w:color w:val="auto"/>
          <w:sz w:val="24"/>
          <w:szCs w:val="24"/>
        </w:rPr>
      </w:pPr>
      <w:r>
        <w:rPr>
          <w:rFonts w:hint="eastAsia" w:ascii="宋体" w:hAnsi="宋体"/>
          <w:color w:val="auto"/>
          <w:sz w:val="24"/>
          <w:szCs w:val="24"/>
        </w:rPr>
        <w:t>2、交付使用后的售后服务期间，因违约或重大过失给甲方造成对方经济损失的，乙方应按甲方</w:t>
      </w:r>
      <w:r>
        <w:rPr>
          <w:rFonts w:ascii="宋体" w:hAnsi="宋体"/>
          <w:color w:val="auto"/>
          <w:sz w:val="24"/>
          <w:szCs w:val="24"/>
        </w:rPr>
        <w:t>损失</w:t>
      </w:r>
      <w:r>
        <w:rPr>
          <w:rFonts w:hint="eastAsia" w:ascii="宋体" w:hAnsi="宋体"/>
          <w:color w:val="auto"/>
          <w:sz w:val="24"/>
          <w:szCs w:val="24"/>
        </w:rPr>
        <w:t>的</w:t>
      </w:r>
      <w:r>
        <w:rPr>
          <w:rFonts w:ascii="宋体" w:hAnsi="宋体"/>
          <w:color w:val="auto"/>
          <w:sz w:val="24"/>
          <w:szCs w:val="24"/>
        </w:rPr>
        <w:t>13</w:t>
      </w:r>
      <w:r>
        <w:rPr>
          <w:rFonts w:hint="eastAsia" w:ascii="宋体" w:hAnsi="宋体"/>
          <w:color w:val="auto"/>
          <w:sz w:val="24"/>
          <w:szCs w:val="24"/>
        </w:rPr>
        <w:t>0%向甲方进行赔偿。</w:t>
      </w:r>
    </w:p>
    <w:p>
      <w:pPr>
        <w:ind w:firstLine="480" w:firstLineChars="200"/>
        <w:rPr>
          <w:rFonts w:ascii="宋体" w:hAnsi="宋体"/>
          <w:color w:val="auto"/>
          <w:sz w:val="24"/>
          <w:szCs w:val="24"/>
        </w:rPr>
      </w:pPr>
      <w:r>
        <w:rPr>
          <w:rFonts w:hint="eastAsia" w:ascii="宋体" w:hAnsi="宋体"/>
          <w:color w:val="auto"/>
          <w:sz w:val="24"/>
          <w:szCs w:val="24"/>
        </w:rPr>
        <w:t>3、本项目若存在未能按期签订合同、未按期交付使用或未能按期通过正式验收三种情形之一者，甲方应将乙方上报北碚区财政局纳入不诚信供应商黑名单；同时，为满足甲方项目工期及验收要求，甲方有权立即申请</w:t>
      </w:r>
      <w:bookmarkStart w:id="69" w:name="_GoBack"/>
      <w:bookmarkEnd w:id="69"/>
      <w:r>
        <w:rPr>
          <w:rFonts w:hint="eastAsia" w:ascii="宋体" w:hAnsi="宋体"/>
          <w:color w:val="auto"/>
          <w:sz w:val="24"/>
          <w:szCs w:val="24"/>
        </w:rPr>
        <w:t>更换中标人或立即终止合同。</w:t>
      </w:r>
    </w:p>
    <w:p>
      <w:pPr>
        <w:spacing w:before="120" w:beforeLines="50"/>
        <w:rPr>
          <w:rFonts w:hint="eastAsia" w:ascii="宋体" w:hAnsi="宋体"/>
          <w:b/>
          <w:color w:val="auto"/>
          <w:sz w:val="24"/>
          <w:szCs w:val="24"/>
        </w:rPr>
      </w:pPr>
      <w:r>
        <w:rPr>
          <w:rFonts w:hint="eastAsia" w:ascii="宋体" w:hAnsi="宋体"/>
          <w:b/>
          <w:color w:val="auto"/>
          <w:sz w:val="24"/>
          <w:szCs w:val="24"/>
        </w:rPr>
        <w:t>第九条：其它</w:t>
      </w:r>
    </w:p>
    <w:p>
      <w:pPr>
        <w:ind w:firstLine="480" w:firstLineChars="200"/>
        <w:rPr>
          <w:rFonts w:ascii="宋体" w:hAnsi="宋体"/>
          <w:color w:val="auto"/>
          <w:sz w:val="24"/>
          <w:szCs w:val="24"/>
        </w:rPr>
      </w:pPr>
      <w:r>
        <w:rPr>
          <w:rFonts w:hint="eastAsia" w:ascii="宋体" w:hAnsi="宋体"/>
          <w:color w:val="auto"/>
          <w:sz w:val="24"/>
          <w:szCs w:val="24"/>
        </w:rPr>
        <w:t>1、招标文件及其补遗文件、投标文件及承诺是本合同不可分割的部分。</w:t>
      </w:r>
    </w:p>
    <w:p>
      <w:pPr>
        <w:ind w:firstLine="480" w:firstLineChars="200"/>
        <w:rPr>
          <w:rFonts w:hint="eastAsia" w:ascii="宋体" w:hAnsi="宋体"/>
          <w:color w:val="auto"/>
          <w:sz w:val="24"/>
          <w:szCs w:val="24"/>
        </w:rPr>
      </w:pPr>
      <w:r>
        <w:rPr>
          <w:rFonts w:hint="eastAsia" w:ascii="宋体" w:hAnsi="宋体"/>
          <w:color w:val="auto"/>
          <w:sz w:val="24"/>
          <w:szCs w:val="24"/>
        </w:rPr>
        <w:t>2、本协议一式肆份，甲乙双方各执两份，经双方签字盖章后之日起生效。</w:t>
      </w:r>
    </w:p>
    <w:p>
      <w:pPr>
        <w:ind w:firstLine="480" w:firstLineChars="200"/>
        <w:rPr>
          <w:rFonts w:hint="eastAsia" w:ascii="宋体" w:hAnsi="宋体"/>
          <w:color w:val="auto"/>
          <w:sz w:val="24"/>
          <w:szCs w:val="24"/>
        </w:rPr>
      </w:pPr>
    </w:p>
    <w:p>
      <w:pPr>
        <w:ind w:firstLine="480" w:firstLineChars="200"/>
        <w:rPr>
          <w:rFonts w:ascii="宋体" w:hAnsi="宋体"/>
          <w:color w:val="auto"/>
          <w:sz w:val="24"/>
          <w:szCs w:val="24"/>
        </w:rPr>
      </w:pPr>
    </w:p>
    <w:p>
      <w:pPr>
        <w:rPr>
          <w:rFonts w:ascii="宋体" w:hAnsi="宋体"/>
          <w:color w:val="auto"/>
          <w:sz w:val="24"/>
          <w:szCs w:val="24"/>
        </w:rPr>
      </w:pPr>
      <w:r>
        <w:rPr>
          <w:rFonts w:hint="eastAsia" w:ascii="宋体" w:hAnsi="宋体"/>
          <w:color w:val="auto"/>
          <w:sz w:val="24"/>
          <w:szCs w:val="24"/>
        </w:rPr>
        <w:t xml:space="preserve">甲方 （公章）：                          乙方（公章）                 </w:t>
      </w:r>
    </w:p>
    <w:p>
      <w:pPr>
        <w:rPr>
          <w:rFonts w:hint="eastAsia" w:ascii="宋体" w:hAnsi="宋体"/>
          <w:color w:val="auto"/>
          <w:sz w:val="24"/>
          <w:szCs w:val="24"/>
        </w:rPr>
      </w:pPr>
    </w:p>
    <w:p>
      <w:pPr>
        <w:rPr>
          <w:rFonts w:hint="eastAsia" w:ascii="宋体" w:hAnsi="宋体"/>
          <w:color w:val="auto"/>
          <w:sz w:val="24"/>
          <w:szCs w:val="24"/>
        </w:rPr>
      </w:pPr>
      <w:r>
        <w:rPr>
          <w:rFonts w:hint="eastAsia" w:ascii="宋体" w:hAnsi="宋体"/>
          <w:color w:val="auto"/>
          <w:sz w:val="24"/>
          <w:szCs w:val="24"/>
        </w:rPr>
        <w:t xml:space="preserve">法定代表人：                             授权代表：           </w:t>
      </w:r>
    </w:p>
    <w:p>
      <w:pPr>
        <w:rPr>
          <w:rFonts w:hint="eastAsia" w:ascii="宋体" w:hAnsi="宋体"/>
          <w:color w:val="auto"/>
          <w:sz w:val="24"/>
          <w:szCs w:val="24"/>
        </w:rPr>
      </w:pPr>
    </w:p>
    <w:p>
      <w:pPr>
        <w:rPr>
          <w:rFonts w:hint="eastAsia" w:ascii="宋体" w:hAnsi="宋体"/>
          <w:color w:val="auto"/>
          <w:sz w:val="24"/>
          <w:szCs w:val="24"/>
        </w:rPr>
      </w:pPr>
    </w:p>
    <w:p>
      <w:pPr>
        <w:rPr>
          <w:rFonts w:hint="eastAsia" w:ascii="宋体" w:hAnsi="宋体"/>
          <w:color w:val="auto"/>
          <w:sz w:val="24"/>
          <w:szCs w:val="24"/>
        </w:rPr>
      </w:pPr>
      <w:r>
        <w:rPr>
          <w:rFonts w:hint="eastAsia" w:ascii="宋体" w:hAnsi="宋体"/>
          <w:color w:val="auto"/>
          <w:sz w:val="24"/>
          <w:szCs w:val="24"/>
        </w:rPr>
        <w:t>经办人：</w:t>
      </w:r>
    </w:p>
    <w:p>
      <w:pPr>
        <w:rPr>
          <w:rFonts w:hint="eastAsia" w:ascii="宋体" w:hAnsi="宋体"/>
          <w:color w:val="auto"/>
          <w:sz w:val="24"/>
          <w:szCs w:val="24"/>
        </w:rPr>
      </w:pPr>
    </w:p>
    <w:p>
      <w:pPr>
        <w:rPr>
          <w:rFonts w:hint="eastAsia" w:ascii="宋体" w:hAnsi="宋体"/>
          <w:color w:val="auto"/>
          <w:sz w:val="24"/>
          <w:szCs w:val="24"/>
        </w:rPr>
      </w:pPr>
    </w:p>
    <w:p>
      <w:pPr>
        <w:rPr>
          <w:rFonts w:hint="eastAsia" w:ascii="宋体" w:hAnsi="宋体"/>
          <w:color w:val="auto"/>
          <w:sz w:val="24"/>
          <w:szCs w:val="24"/>
        </w:rPr>
      </w:pPr>
    </w:p>
    <w:p>
      <w:pPr>
        <w:spacing w:line="320" w:lineRule="exact"/>
        <w:jc w:val="left"/>
        <w:rPr>
          <w:rFonts w:hint="eastAsia" w:ascii="宋体" w:hAnsi="宋体"/>
          <w:color w:val="auto"/>
          <w:sz w:val="24"/>
          <w:szCs w:val="24"/>
        </w:rPr>
      </w:pPr>
      <w:r>
        <w:rPr>
          <w:rFonts w:hint="eastAsia" w:ascii="宋体" w:hAnsi="宋体"/>
          <w:color w:val="auto"/>
          <w:sz w:val="24"/>
          <w:szCs w:val="24"/>
        </w:rPr>
        <w:t>开户行：建行北碚支行</w:t>
      </w:r>
    </w:p>
    <w:p>
      <w:pPr>
        <w:spacing w:line="320" w:lineRule="exact"/>
        <w:jc w:val="left"/>
        <w:rPr>
          <w:rFonts w:hint="eastAsia" w:ascii="宋体" w:hAnsi="宋体"/>
          <w:color w:val="auto"/>
          <w:sz w:val="24"/>
          <w:szCs w:val="24"/>
        </w:rPr>
      </w:pPr>
      <w:r>
        <w:rPr>
          <w:rFonts w:hint="eastAsia" w:ascii="宋体" w:hAnsi="宋体"/>
          <w:color w:val="auto"/>
          <w:sz w:val="24"/>
          <w:szCs w:val="24"/>
        </w:rPr>
        <w:t>账号：</w:t>
      </w:r>
      <w:r>
        <w:rPr>
          <w:rFonts w:ascii="宋体" w:hAnsi="宋体"/>
          <w:color w:val="auto"/>
          <w:sz w:val="24"/>
          <w:szCs w:val="24"/>
        </w:rPr>
        <w:t>5000 1093 6000 5001 2527</w:t>
      </w:r>
    </w:p>
    <w:p>
      <w:pPr>
        <w:rPr>
          <w:rFonts w:ascii="宋体" w:hAnsi="宋体"/>
          <w:color w:val="auto"/>
          <w:sz w:val="24"/>
          <w:szCs w:val="24"/>
        </w:rPr>
      </w:pPr>
      <w:r>
        <w:rPr>
          <w:rFonts w:hint="eastAsia" w:ascii="宋体" w:hAnsi="宋体"/>
          <w:color w:val="auto"/>
          <w:sz w:val="24"/>
          <w:szCs w:val="24"/>
        </w:rPr>
        <w:t>纳税人识别号：12500109450388583N</w:t>
      </w:r>
    </w:p>
    <w:p>
      <w:pPr>
        <w:rPr>
          <w:rFonts w:ascii="宋体" w:hAnsi="宋体"/>
          <w:color w:val="auto"/>
          <w:sz w:val="24"/>
          <w:szCs w:val="24"/>
        </w:rPr>
      </w:pPr>
      <w:r>
        <w:rPr>
          <w:rFonts w:hint="eastAsia" w:ascii="宋体" w:hAnsi="宋体"/>
          <w:color w:val="auto"/>
          <w:sz w:val="24"/>
          <w:szCs w:val="24"/>
        </w:rPr>
        <w:t xml:space="preserve">地址：重庆市北碚区嘉陵村69号          地址：               </w:t>
      </w:r>
    </w:p>
    <w:p>
      <w:pPr>
        <w:rPr>
          <w:rFonts w:ascii="宋体" w:hAnsi="宋体"/>
          <w:color w:val="auto"/>
          <w:sz w:val="24"/>
          <w:szCs w:val="24"/>
        </w:rPr>
      </w:pPr>
      <w:r>
        <w:rPr>
          <w:rFonts w:hint="eastAsia" w:ascii="宋体" w:hAnsi="宋体"/>
          <w:color w:val="auto"/>
          <w:sz w:val="24"/>
          <w:szCs w:val="24"/>
        </w:rPr>
        <w:t xml:space="preserve">电话：                                 电话：             </w:t>
      </w:r>
    </w:p>
    <w:p>
      <w:pPr>
        <w:rPr>
          <w:rFonts w:ascii="宋体" w:hAnsi="宋体"/>
          <w:color w:val="auto"/>
          <w:sz w:val="24"/>
          <w:szCs w:val="24"/>
        </w:rPr>
      </w:pPr>
    </w:p>
    <w:p>
      <w:pPr>
        <w:rPr>
          <w:rFonts w:hint="eastAsia" w:ascii="宋体" w:hAnsi="宋体"/>
          <w:color w:val="auto"/>
          <w:sz w:val="24"/>
          <w:szCs w:val="24"/>
        </w:rPr>
      </w:pPr>
      <w:r>
        <w:rPr>
          <w:rFonts w:hint="eastAsia" w:ascii="宋体" w:hAnsi="宋体"/>
          <w:color w:val="auto"/>
          <w:sz w:val="24"/>
          <w:szCs w:val="24"/>
        </w:rPr>
        <w:t>签约日期：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             签约日期：</w:t>
      </w:r>
      <w:r>
        <w:rPr>
          <w:rFonts w:hint="eastAsia" w:ascii="宋体" w:hAnsi="宋体"/>
          <w:color w:val="auto"/>
          <w:sz w:val="24"/>
          <w:szCs w:val="24"/>
          <w:u w:val="single"/>
        </w:rPr>
        <w:t xml:space="preserve">    </w:t>
      </w:r>
      <w:r>
        <w:rPr>
          <w:rFonts w:hint="eastAsia" w:ascii="宋体" w:hAnsi="宋体"/>
          <w:color w:val="auto"/>
          <w:sz w:val="24"/>
          <w:szCs w:val="24"/>
        </w:rPr>
        <w:t>年</w:t>
      </w:r>
      <w:r>
        <w:rPr>
          <w:rFonts w:hint="eastAsia" w:ascii="宋体" w:hAnsi="宋体"/>
          <w:color w:val="auto"/>
          <w:sz w:val="24"/>
          <w:szCs w:val="24"/>
          <w:u w:val="single"/>
        </w:rPr>
        <w:t xml:space="preserve">   </w:t>
      </w:r>
      <w:r>
        <w:rPr>
          <w:rFonts w:hint="eastAsia" w:ascii="宋体" w:hAnsi="宋体"/>
          <w:color w:val="auto"/>
          <w:sz w:val="24"/>
          <w:szCs w:val="24"/>
        </w:rPr>
        <w:t>月</w:t>
      </w:r>
      <w:r>
        <w:rPr>
          <w:rFonts w:hint="eastAsia" w:ascii="宋体" w:hAnsi="宋体"/>
          <w:color w:val="auto"/>
          <w:sz w:val="24"/>
          <w:szCs w:val="24"/>
          <w:u w:val="single"/>
        </w:rPr>
        <w:t xml:space="preserve">   </w:t>
      </w:r>
      <w:r>
        <w:rPr>
          <w:rFonts w:hint="eastAsia" w:ascii="宋体" w:hAnsi="宋体"/>
          <w:color w:val="auto"/>
          <w:sz w:val="24"/>
          <w:szCs w:val="24"/>
        </w:rPr>
        <w:t>日</w:t>
      </w:r>
    </w:p>
    <w:p>
      <w:pPr>
        <w:rPr>
          <w:rFonts w:hint="eastAsia" w:ascii="宋体" w:hAnsi="宋体"/>
          <w:color w:val="auto"/>
          <w:sz w:val="24"/>
          <w:szCs w:val="24"/>
        </w:rPr>
      </w:pPr>
    </w:p>
    <w:p>
      <w:pPr>
        <w:spacing w:line="440" w:lineRule="exact"/>
        <w:rPr>
          <w:rFonts w:hint="eastAsia" w:ascii="宋体" w:hAnsi="宋体" w:cs="方正仿宋_GBK"/>
          <w:color w:val="auto"/>
          <w:sz w:val="24"/>
          <w:szCs w:val="24"/>
        </w:rPr>
      </w:pPr>
    </w:p>
    <w:p>
      <w:pPr>
        <w:rPr>
          <w:rFonts w:hint="eastAsia" w:ascii="宋体" w:hAnsi="宋体" w:eastAsia="宋体"/>
          <w:color w:val="auto"/>
        </w:rPr>
      </w:pPr>
      <w:bookmarkStart w:id="56" w:name="_Toc30234"/>
      <w:r>
        <w:rPr>
          <w:rFonts w:hint="eastAsia" w:ascii="宋体" w:hAnsi="宋体" w:eastAsia="宋体"/>
          <w:color w:val="auto"/>
        </w:rPr>
        <w:br w:type="page"/>
      </w:r>
    </w:p>
    <w:p>
      <w:pPr>
        <w:pStyle w:val="2"/>
        <w:spacing w:before="0" w:beforeLines="0" w:after="0" w:afterLines="0" w:line="276" w:lineRule="auto"/>
        <w:rPr>
          <w:rFonts w:hint="eastAsia" w:ascii="宋体" w:hAnsi="宋体" w:eastAsia="宋体"/>
          <w:color w:val="auto"/>
        </w:rPr>
      </w:pPr>
      <w:r>
        <w:rPr>
          <w:rFonts w:hint="eastAsia" w:ascii="宋体" w:hAnsi="宋体" w:eastAsia="宋体"/>
          <w:color w:val="auto"/>
        </w:rPr>
        <w:t>第六篇  响应文件格式</w:t>
      </w:r>
      <w:bookmarkEnd w:id="56"/>
    </w:p>
    <w:p>
      <w:pPr>
        <w:snapToGrid w:val="0"/>
        <w:spacing w:line="276" w:lineRule="auto"/>
        <w:ind w:firstLine="482" w:firstLineChars="200"/>
        <w:rPr>
          <w:rFonts w:hint="eastAsia" w:ascii="宋体" w:hAnsi="宋体"/>
          <w:b/>
          <w:color w:val="auto"/>
          <w:sz w:val="24"/>
          <w:szCs w:val="24"/>
        </w:rPr>
      </w:pPr>
      <w:r>
        <w:rPr>
          <w:rFonts w:hint="eastAsia" w:ascii="宋体" w:hAnsi="宋体"/>
          <w:b/>
          <w:color w:val="auto"/>
          <w:sz w:val="24"/>
          <w:szCs w:val="24"/>
        </w:rPr>
        <w:t>一、经济文件</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（一）报价一览表</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（二）分项报价明细表</w:t>
      </w:r>
    </w:p>
    <w:p>
      <w:pPr>
        <w:snapToGrid w:val="0"/>
        <w:spacing w:line="276" w:lineRule="auto"/>
        <w:ind w:firstLine="482" w:firstLineChars="200"/>
        <w:rPr>
          <w:rFonts w:hint="eastAsia" w:ascii="宋体" w:hAnsi="宋体"/>
          <w:b/>
          <w:color w:val="auto"/>
          <w:sz w:val="24"/>
          <w:szCs w:val="24"/>
        </w:rPr>
      </w:pPr>
      <w:r>
        <w:rPr>
          <w:rFonts w:hint="eastAsia" w:ascii="宋体" w:hAnsi="宋体"/>
          <w:b/>
          <w:color w:val="auto"/>
          <w:sz w:val="24"/>
          <w:szCs w:val="24"/>
        </w:rPr>
        <w:t>二、资格文件</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（一）营业执照（副本）或事业单位法人证书（副本）复印件</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（二）组织机构代码证复印件</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（三）竞争性磋商参与函（格式）</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（四）法定代表人身份证明书（格式）</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（五）法定代表人授权委托书（格式）</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（六）书面声明（格式）</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（七）税务登记证（副本）复印件和社会保险缴纳证明材料</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（八）特定资格条件证书或证明文件</w:t>
      </w:r>
    </w:p>
    <w:p>
      <w:pPr>
        <w:snapToGrid w:val="0"/>
        <w:spacing w:line="276" w:lineRule="auto"/>
        <w:ind w:firstLine="480" w:firstLineChars="200"/>
        <w:rPr>
          <w:rFonts w:hint="eastAsia" w:ascii="宋体" w:hAnsi="宋体"/>
          <w:b/>
          <w:color w:val="auto"/>
          <w:sz w:val="24"/>
          <w:szCs w:val="24"/>
        </w:rPr>
      </w:pPr>
      <w:r>
        <w:rPr>
          <w:rFonts w:hint="eastAsia" w:ascii="宋体" w:hAnsi="宋体"/>
          <w:color w:val="auto"/>
          <w:sz w:val="24"/>
          <w:szCs w:val="24"/>
        </w:rPr>
        <w:t>说明：供应商按“三证合一”登记制度办理营业执照的，组织机构代码证和税务登记证以供应商所提供的法人营业执照（副本）复印件为准。</w:t>
      </w:r>
    </w:p>
    <w:p>
      <w:pPr>
        <w:snapToGrid w:val="0"/>
        <w:spacing w:line="276" w:lineRule="auto"/>
        <w:ind w:firstLine="482" w:firstLineChars="200"/>
        <w:rPr>
          <w:rFonts w:hint="eastAsia" w:ascii="宋体" w:hAnsi="宋体"/>
          <w:b/>
          <w:color w:val="auto"/>
          <w:sz w:val="24"/>
          <w:szCs w:val="24"/>
        </w:rPr>
      </w:pPr>
      <w:r>
        <w:rPr>
          <w:rFonts w:hint="eastAsia" w:ascii="宋体" w:hAnsi="宋体"/>
          <w:b/>
          <w:color w:val="auto"/>
          <w:sz w:val="24"/>
          <w:szCs w:val="24"/>
        </w:rPr>
        <w:t>三、服务响应文件</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（一）服务具体方案</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（二）商务承诺</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（三）服务响应条款差异表</w:t>
      </w:r>
    </w:p>
    <w:p>
      <w:pPr>
        <w:tabs>
          <w:tab w:val="left" w:pos="1764"/>
        </w:tabs>
        <w:snapToGrid w:val="0"/>
        <w:spacing w:line="276" w:lineRule="auto"/>
        <w:ind w:firstLine="482" w:firstLineChars="200"/>
        <w:rPr>
          <w:rFonts w:hint="eastAsia" w:ascii="宋体" w:hAnsi="宋体"/>
          <w:b/>
          <w:color w:val="auto"/>
          <w:sz w:val="24"/>
          <w:szCs w:val="24"/>
        </w:rPr>
      </w:pPr>
      <w:r>
        <w:rPr>
          <w:rFonts w:hint="eastAsia" w:ascii="宋体" w:hAnsi="宋体"/>
          <w:b/>
          <w:color w:val="auto"/>
          <w:sz w:val="24"/>
          <w:szCs w:val="24"/>
        </w:rPr>
        <w:t>四、其他</w:t>
      </w:r>
    </w:p>
    <w:p>
      <w:pPr>
        <w:snapToGrid w:val="0"/>
        <w:spacing w:line="276" w:lineRule="auto"/>
        <w:ind w:firstLine="480" w:firstLineChars="200"/>
        <w:rPr>
          <w:rFonts w:hint="eastAsia" w:ascii="宋体" w:hAnsi="宋体"/>
          <w:color w:val="auto"/>
          <w:sz w:val="24"/>
          <w:szCs w:val="24"/>
        </w:rPr>
      </w:pPr>
      <w:r>
        <w:rPr>
          <w:rFonts w:hint="eastAsia" w:ascii="宋体" w:hAnsi="宋体"/>
          <w:color w:val="auto"/>
          <w:sz w:val="24"/>
          <w:szCs w:val="24"/>
        </w:rPr>
        <w:t>（一）其他与项目有关的资料（自附）</w:t>
      </w:r>
    </w:p>
    <w:p>
      <w:pPr>
        <w:pStyle w:val="3"/>
        <w:spacing w:line="276" w:lineRule="auto"/>
        <w:ind w:firstLine="560" w:firstLineChars="200"/>
        <w:rPr>
          <w:rFonts w:hint="eastAsia"/>
          <w:b/>
          <w:color w:val="auto"/>
          <w:szCs w:val="28"/>
        </w:rPr>
      </w:pPr>
      <w:r>
        <w:rPr>
          <w:rFonts w:hint="eastAsia"/>
          <w:color w:val="auto"/>
        </w:rPr>
        <w:br w:type="page"/>
      </w:r>
      <w:bookmarkStart w:id="57" w:name="_Toc441065694"/>
      <w:bookmarkStart w:id="58" w:name="_Toc3060"/>
      <w:bookmarkStart w:id="59" w:name="_Toc429584884"/>
      <w:r>
        <w:rPr>
          <w:rFonts w:hint="eastAsia"/>
          <w:b/>
          <w:color w:val="auto"/>
          <w:szCs w:val="28"/>
        </w:rPr>
        <w:t>一、经济文件</w:t>
      </w:r>
      <w:bookmarkEnd w:id="57"/>
      <w:bookmarkEnd w:id="58"/>
      <w:bookmarkEnd w:id="59"/>
    </w:p>
    <w:p>
      <w:pPr>
        <w:snapToGrid w:val="0"/>
        <w:spacing w:line="276" w:lineRule="auto"/>
        <w:jc w:val="center"/>
        <w:rPr>
          <w:rFonts w:hint="eastAsia" w:ascii="宋体" w:hAnsi="宋体"/>
          <w:color w:val="auto"/>
          <w:szCs w:val="36"/>
        </w:rPr>
      </w:pPr>
      <w:r>
        <w:rPr>
          <w:rFonts w:hint="eastAsia" w:ascii="宋体" w:hAnsi="宋体"/>
          <w:color w:val="auto"/>
          <w:szCs w:val="36"/>
        </w:rPr>
        <w:t>（一）报价一览表</w:t>
      </w:r>
    </w:p>
    <w:p>
      <w:pPr>
        <w:spacing w:line="276" w:lineRule="auto"/>
        <w:ind w:firstLine="240" w:firstLineChars="100"/>
        <w:rPr>
          <w:rFonts w:hint="eastAsia" w:ascii="宋体" w:hAnsi="宋体"/>
          <w:color w:val="auto"/>
          <w:sz w:val="24"/>
          <w:szCs w:val="28"/>
        </w:rPr>
      </w:pPr>
    </w:p>
    <w:p>
      <w:pPr>
        <w:spacing w:line="276" w:lineRule="auto"/>
        <w:ind w:firstLine="240" w:firstLineChars="100"/>
        <w:rPr>
          <w:rFonts w:hint="default" w:ascii="宋体" w:hAnsi="宋体" w:eastAsia="宋体"/>
          <w:color w:val="auto"/>
          <w:sz w:val="24"/>
          <w:szCs w:val="28"/>
          <w:lang w:val="en-US" w:eastAsia="zh-CN"/>
        </w:rPr>
      </w:pPr>
      <w:r>
        <w:rPr>
          <w:rFonts w:hint="eastAsia" w:ascii="宋体" w:hAnsi="宋体"/>
          <w:color w:val="auto"/>
          <w:sz w:val="24"/>
          <w:szCs w:val="28"/>
        </w:rPr>
        <w:t>项目名称：</w:t>
      </w:r>
      <w:r>
        <w:rPr>
          <w:rFonts w:hint="eastAsia" w:ascii="宋体" w:hAnsi="宋体"/>
          <w:color w:val="auto"/>
          <w:sz w:val="24"/>
          <w:szCs w:val="28"/>
          <w:lang w:val="en-US" w:eastAsia="zh-CN"/>
        </w:rPr>
        <w:t xml:space="preserve">                                    项目编号：</w:t>
      </w:r>
    </w:p>
    <w:tbl>
      <w:tblPr>
        <w:tblStyle w:val="58"/>
        <w:tblW w:w="9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3429"/>
        <w:gridCol w:w="3150"/>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575" w:type="dxa"/>
            <w:noWrap w:val="0"/>
            <w:vAlign w:val="center"/>
          </w:tcPr>
          <w:p>
            <w:pPr>
              <w:spacing w:line="276" w:lineRule="auto"/>
              <w:jc w:val="center"/>
              <w:rPr>
                <w:rFonts w:hint="eastAsia" w:ascii="宋体" w:hAnsi="宋体"/>
                <w:color w:val="auto"/>
                <w:sz w:val="21"/>
                <w:szCs w:val="28"/>
              </w:rPr>
            </w:pPr>
            <w:r>
              <w:rPr>
                <w:rFonts w:hint="eastAsia" w:ascii="宋体" w:hAnsi="宋体"/>
                <w:color w:val="auto"/>
                <w:sz w:val="21"/>
                <w:szCs w:val="28"/>
              </w:rPr>
              <w:t>供应商名称</w:t>
            </w:r>
          </w:p>
        </w:tc>
        <w:tc>
          <w:tcPr>
            <w:tcW w:w="8211" w:type="dxa"/>
            <w:gridSpan w:val="3"/>
            <w:noWrap w:val="0"/>
            <w:vAlign w:val="center"/>
          </w:tcPr>
          <w:p>
            <w:pPr>
              <w:spacing w:line="276" w:lineRule="auto"/>
              <w:jc w:val="center"/>
              <w:rPr>
                <w:rFonts w:hint="eastAsia" w:ascii="宋体" w:hAnsi="宋体"/>
                <w:color w:val="auto"/>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trPr>
        <w:tc>
          <w:tcPr>
            <w:tcW w:w="1575" w:type="dxa"/>
            <w:noWrap w:val="0"/>
            <w:vAlign w:val="center"/>
          </w:tcPr>
          <w:p>
            <w:pPr>
              <w:spacing w:line="276" w:lineRule="auto"/>
              <w:jc w:val="center"/>
              <w:rPr>
                <w:rFonts w:hint="eastAsia" w:ascii="宋体" w:hAnsi="宋体" w:eastAsia="宋体"/>
                <w:color w:val="auto"/>
                <w:sz w:val="21"/>
                <w:szCs w:val="28"/>
                <w:lang w:eastAsia="zh-CN"/>
              </w:rPr>
            </w:pPr>
            <w:r>
              <w:rPr>
                <w:rFonts w:hint="eastAsia" w:ascii="宋体" w:hAnsi="宋体"/>
                <w:color w:val="auto"/>
                <w:sz w:val="21"/>
                <w:szCs w:val="28"/>
                <w:lang w:eastAsia="zh-CN"/>
              </w:rPr>
              <w:t>服务次数（次）</w:t>
            </w:r>
          </w:p>
        </w:tc>
        <w:tc>
          <w:tcPr>
            <w:tcW w:w="3429" w:type="dxa"/>
            <w:noWrap w:val="0"/>
            <w:vAlign w:val="center"/>
          </w:tcPr>
          <w:p>
            <w:pPr>
              <w:spacing w:line="276" w:lineRule="auto"/>
              <w:jc w:val="center"/>
              <w:rPr>
                <w:rFonts w:hint="eastAsia" w:ascii="宋体" w:hAnsi="宋体" w:eastAsia="宋体"/>
                <w:color w:val="auto"/>
                <w:sz w:val="21"/>
                <w:szCs w:val="28"/>
                <w:lang w:eastAsia="zh-CN"/>
              </w:rPr>
            </w:pPr>
            <w:r>
              <w:rPr>
                <w:rFonts w:hint="eastAsia" w:ascii="宋体" w:hAnsi="宋体"/>
                <w:color w:val="auto"/>
                <w:sz w:val="21"/>
                <w:szCs w:val="28"/>
                <w:lang w:eastAsia="zh-CN"/>
              </w:rPr>
              <w:t>单次服务价（元）</w:t>
            </w:r>
          </w:p>
        </w:tc>
        <w:tc>
          <w:tcPr>
            <w:tcW w:w="3150" w:type="dxa"/>
            <w:noWrap w:val="0"/>
            <w:vAlign w:val="center"/>
          </w:tcPr>
          <w:p>
            <w:pPr>
              <w:spacing w:line="276" w:lineRule="auto"/>
              <w:jc w:val="center"/>
              <w:rPr>
                <w:rFonts w:hint="eastAsia" w:ascii="宋体" w:hAnsi="宋体"/>
                <w:color w:val="auto"/>
                <w:sz w:val="21"/>
                <w:szCs w:val="28"/>
              </w:rPr>
            </w:pPr>
            <w:r>
              <w:rPr>
                <w:rFonts w:hint="eastAsia" w:ascii="宋体" w:hAnsi="宋体"/>
                <w:color w:val="auto"/>
                <w:sz w:val="21"/>
                <w:szCs w:val="28"/>
                <w:lang w:eastAsia="zh-CN"/>
              </w:rPr>
              <w:t>投标总价</w:t>
            </w:r>
            <w:r>
              <w:rPr>
                <w:rFonts w:hint="eastAsia" w:ascii="宋体" w:hAnsi="宋体"/>
                <w:color w:val="auto"/>
                <w:sz w:val="21"/>
                <w:szCs w:val="28"/>
              </w:rPr>
              <w:t>（</w:t>
            </w:r>
            <w:r>
              <w:rPr>
                <w:rFonts w:hint="eastAsia" w:ascii="宋体" w:hAnsi="宋体"/>
                <w:color w:val="auto"/>
                <w:sz w:val="21"/>
                <w:szCs w:val="28"/>
                <w:lang w:eastAsia="zh-CN"/>
              </w:rPr>
              <w:t>元</w:t>
            </w:r>
            <w:r>
              <w:rPr>
                <w:rFonts w:hint="eastAsia" w:ascii="宋体" w:hAnsi="宋体"/>
                <w:color w:val="auto"/>
                <w:sz w:val="21"/>
                <w:szCs w:val="28"/>
              </w:rPr>
              <w:t>）</w:t>
            </w:r>
          </w:p>
        </w:tc>
        <w:tc>
          <w:tcPr>
            <w:tcW w:w="1632" w:type="dxa"/>
            <w:noWrap w:val="0"/>
            <w:vAlign w:val="center"/>
          </w:tcPr>
          <w:p>
            <w:pPr>
              <w:spacing w:line="276" w:lineRule="auto"/>
              <w:jc w:val="center"/>
              <w:rPr>
                <w:rFonts w:hint="eastAsia" w:ascii="宋体" w:hAnsi="宋体" w:eastAsia="宋体"/>
                <w:color w:val="auto"/>
                <w:sz w:val="21"/>
                <w:szCs w:val="28"/>
                <w:lang w:eastAsia="zh-CN"/>
              </w:rPr>
            </w:pPr>
            <w:r>
              <w:rPr>
                <w:rFonts w:hint="eastAsia" w:ascii="宋体" w:hAnsi="宋体"/>
                <w:color w:val="auto"/>
                <w:sz w:val="21"/>
                <w:szCs w:val="28"/>
                <w:lang w:eastAsia="zh-CN"/>
              </w:rPr>
              <w:t>交付期（天）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575" w:type="dxa"/>
            <w:tcBorders>
              <w:bottom w:val="single" w:color="auto" w:sz="4" w:space="0"/>
            </w:tcBorders>
            <w:noWrap w:val="0"/>
            <w:vAlign w:val="center"/>
          </w:tcPr>
          <w:p>
            <w:pPr>
              <w:spacing w:line="276" w:lineRule="auto"/>
              <w:jc w:val="center"/>
              <w:rPr>
                <w:rFonts w:hint="default" w:ascii="宋体" w:hAnsi="宋体" w:eastAsia="宋体"/>
                <w:color w:val="auto"/>
                <w:sz w:val="21"/>
                <w:szCs w:val="28"/>
                <w:lang w:val="en-US" w:eastAsia="zh-CN"/>
              </w:rPr>
            </w:pPr>
          </w:p>
        </w:tc>
        <w:tc>
          <w:tcPr>
            <w:tcW w:w="3429" w:type="dxa"/>
            <w:tcBorders>
              <w:bottom w:val="single" w:color="auto" w:sz="4" w:space="0"/>
            </w:tcBorders>
            <w:noWrap w:val="0"/>
            <w:vAlign w:val="top"/>
          </w:tcPr>
          <w:p>
            <w:pPr>
              <w:spacing w:line="276" w:lineRule="auto"/>
              <w:rPr>
                <w:rFonts w:hint="eastAsia" w:ascii="宋体" w:hAnsi="宋体"/>
                <w:color w:val="auto"/>
                <w:sz w:val="21"/>
                <w:szCs w:val="28"/>
              </w:rPr>
            </w:pPr>
          </w:p>
        </w:tc>
        <w:tc>
          <w:tcPr>
            <w:tcW w:w="3150" w:type="dxa"/>
            <w:tcBorders>
              <w:bottom w:val="single" w:color="auto" w:sz="4" w:space="0"/>
            </w:tcBorders>
            <w:noWrap w:val="0"/>
            <w:vAlign w:val="top"/>
          </w:tcPr>
          <w:p>
            <w:pPr>
              <w:spacing w:line="276" w:lineRule="auto"/>
              <w:rPr>
                <w:rFonts w:hint="eastAsia" w:ascii="宋体" w:hAnsi="宋体"/>
                <w:color w:val="auto"/>
                <w:sz w:val="21"/>
                <w:szCs w:val="28"/>
              </w:rPr>
            </w:pPr>
          </w:p>
        </w:tc>
        <w:tc>
          <w:tcPr>
            <w:tcW w:w="1632" w:type="dxa"/>
            <w:tcBorders>
              <w:bottom w:val="single" w:color="auto" w:sz="4" w:space="0"/>
            </w:tcBorders>
            <w:noWrap w:val="0"/>
            <w:vAlign w:val="top"/>
          </w:tcPr>
          <w:p>
            <w:pPr>
              <w:spacing w:line="276" w:lineRule="auto"/>
              <w:rPr>
                <w:rFonts w:hint="eastAsia" w:ascii="宋体" w:hAnsi="宋体"/>
                <w:color w:val="auto"/>
                <w:sz w:val="21"/>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786" w:type="dxa"/>
            <w:gridSpan w:val="4"/>
            <w:tcBorders>
              <w:bottom w:val="single" w:color="auto" w:sz="4" w:space="0"/>
            </w:tcBorders>
            <w:noWrap w:val="0"/>
            <w:vAlign w:val="center"/>
          </w:tcPr>
          <w:p>
            <w:pPr>
              <w:spacing w:line="276" w:lineRule="auto"/>
              <w:rPr>
                <w:rFonts w:hint="eastAsia" w:ascii="宋体" w:hAnsi="宋体"/>
                <w:color w:val="auto"/>
                <w:sz w:val="21"/>
                <w:szCs w:val="28"/>
              </w:rPr>
            </w:pPr>
            <w:r>
              <w:rPr>
                <w:rFonts w:hint="eastAsia" w:ascii="宋体" w:hAnsi="宋体"/>
                <w:color w:val="auto"/>
                <w:sz w:val="21"/>
                <w:szCs w:val="28"/>
                <w:lang w:eastAsia="zh-CN"/>
              </w:rPr>
              <w:t>投标总</w:t>
            </w:r>
            <w:r>
              <w:rPr>
                <w:rFonts w:hint="eastAsia" w:ascii="宋体" w:hAnsi="宋体"/>
                <w:color w:val="auto"/>
                <w:sz w:val="21"/>
                <w:szCs w:val="28"/>
              </w:rPr>
              <w:t xml:space="preserve">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786" w:type="dxa"/>
            <w:gridSpan w:val="4"/>
            <w:noWrap w:val="0"/>
            <w:vAlign w:val="center"/>
          </w:tcPr>
          <w:p>
            <w:pPr>
              <w:pStyle w:val="33"/>
              <w:spacing w:line="276" w:lineRule="auto"/>
              <w:rPr>
                <w:rFonts w:hint="eastAsia" w:ascii="宋体" w:hAnsi="宋体"/>
                <w:color w:val="auto"/>
                <w:sz w:val="21"/>
                <w:szCs w:val="28"/>
                <w:lang w:val="en-US" w:eastAsia="zh-CN"/>
              </w:rPr>
            </w:pPr>
            <w:r>
              <w:rPr>
                <w:rFonts w:hint="eastAsia" w:ascii="宋体" w:hAnsi="宋体"/>
                <w:color w:val="auto"/>
                <w:sz w:val="21"/>
                <w:szCs w:val="28"/>
                <w:lang w:val="en-US" w:eastAsia="zh-CN"/>
              </w:rPr>
              <w:t>备注：</w:t>
            </w:r>
          </w:p>
        </w:tc>
      </w:tr>
    </w:tbl>
    <w:p>
      <w:pPr>
        <w:pStyle w:val="33"/>
        <w:spacing w:line="276" w:lineRule="auto"/>
        <w:rPr>
          <w:rFonts w:hint="eastAsia" w:ascii="宋体" w:hAnsi="宋体"/>
          <w:color w:val="auto"/>
          <w:sz w:val="24"/>
          <w:szCs w:val="28"/>
        </w:rPr>
      </w:pPr>
    </w:p>
    <w:p>
      <w:pPr>
        <w:spacing w:line="276" w:lineRule="auto"/>
        <w:rPr>
          <w:rFonts w:hint="eastAsia" w:ascii="宋体" w:hAnsi="宋体"/>
          <w:color w:val="auto"/>
        </w:rPr>
      </w:pPr>
    </w:p>
    <w:p>
      <w:pPr>
        <w:spacing w:line="276" w:lineRule="auto"/>
        <w:rPr>
          <w:rFonts w:hint="eastAsia" w:ascii="宋体" w:hAnsi="宋体"/>
          <w:color w:val="auto"/>
          <w:sz w:val="24"/>
          <w:szCs w:val="28"/>
        </w:rPr>
      </w:pPr>
    </w:p>
    <w:p>
      <w:pPr>
        <w:spacing w:line="276" w:lineRule="auto"/>
        <w:ind w:firstLine="480" w:firstLineChars="200"/>
        <w:rPr>
          <w:rFonts w:hint="eastAsia" w:ascii="宋体" w:hAnsi="宋体"/>
          <w:color w:val="auto"/>
          <w:sz w:val="24"/>
          <w:szCs w:val="28"/>
        </w:rPr>
      </w:pPr>
      <w:r>
        <w:rPr>
          <w:rFonts w:hint="eastAsia" w:ascii="宋体" w:hAnsi="宋体"/>
          <w:color w:val="auto"/>
          <w:sz w:val="24"/>
          <w:szCs w:val="28"/>
        </w:rPr>
        <w:t>供应商                                   法定代表人授权代表：</w:t>
      </w:r>
    </w:p>
    <w:p>
      <w:pPr>
        <w:spacing w:line="276" w:lineRule="auto"/>
        <w:rPr>
          <w:rFonts w:hint="eastAsia" w:ascii="宋体" w:hAnsi="宋体"/>
          <w:color w:val="auto"/>
          <w:sz w:val="24"/>
          <w:szCs w:val="28"/>
        </w:rPr>
      </w:pPr>
      <w:r>
        <w:rPr>
          <w:rFonts w:hint="eastAsia" w:ascii="宋体" w:hAnsi="宋体"/>
          <w:color w:val="auto"/>
          <w:sz w:val="24"/>
          <w:szCs w:val="28"/>
        </w:rPr>
        <w:t xml:space="preserve">  （供应商公章）                               （签字或盖章）</w:t>
      </w:r>
    </w:p>
    <w:p>
      <w:pPr>
        <w:spacing w:line="276" w:lineRule="auto"/>
        <w:rPr>
          <w:rFonts w:hint="eastAsia" w:ascii="宋体" w:hAnsi="宋体"/>
          <w:color w:val="auto"/>
          <w:sz w:val="24"/>
          <w:szCs w:val="28"/>
        </w:rPr>
      </w:pPr>
    </w:p>
    <w:p>
      <w:pPr>
        <w:spacing w:line="276" w:lineRule="auto"/>
        <w:rPr>
          <w:rFonts w:hint="eastAsia" w:ascii="宋体" w:hAnsi="宋体"/>
          <w:color w:val="auto"/>
          <w:sz w:val="24"/>
          <w:szCs w:val="28"/>
        </w:rPr>
      </w:pPr>
    </w:p>
    <w:p>
      <w:pPr>
        <w:spacing w:line="276" w:lineRule="auto"/>
        <w:rPr>
          <w:rFonts w:hint="eastAsia" w:ascii="宋体" w:hAnsi="宋体"/>
          <w:color w:val="auto"/>
          <w:sz w:val="24"/>
          <w:szCs w:val="28"/>
        </w:rPr>
      </w:pPr>
      <w:r>
        <w:rPr>
          <w:rFonts w:hint="eastAsia" w:ascii="宋体" w:hAnsi="宋体"/>
          <w:color w:val="auto"/>
          <w:sz w:val="24"/>
          <w:szCs w:val="28"/>
        </w:rPr>
        <w:t xml:space="preserve">                                            年     月     日</w:t>
      </w:r>
    </w:p>
    <w:p>
      <w:pPr>
        <w:snapToGrid w:val="0"/>
        <w:spacing w:line="276" w:lineRule="auto"/>
        <w:ind w:firstLine="480" w:firstLineChars="200"/>
        <w:rPr>
          <w:rFonts w:hint="eastAsia" w:ascii="宋体" w:hAnsi="宋体"/>
          <w:color w:val="auto"/>
          <w:sz w:val="24"/>
          <w:szCs w:val="28"/>
        </w:rPr>
      </w:pPr>
    </w:p>
    <w:p>
      <w:pPr>
        <w:snapToGrid w:val="0"/>
        <w:spacing w:line="276" w:lineRule="auto"/>
        <w:ind w:firstLine="480" w:firstLineChars="200"/>
        <w:rPr>
          <w:rFonts w:hint="eastAsia" w:ascii="宋体" w:hAnsi="宋体"/>
          <w:color w:val="auto"/>
          <w:sz w:val="24"/>
          <w:szCs w:val="28"/>
        </w:rPr>
      </w:pPr>
    </w:p>
    <w:p>
      <w:pPr>
        <w:snapToGrid w:val="0"/>
        <w:spacing w:line="276" w:lineRule="auto"/>
        <w:ind w:firstLine="480" w:firstLineChars="200"/>
        <w:rPr>
          <w:rFonts w:hint="eastAsia" w:ascii="宋体" w:hAnsi="宋体"/>
          <w:color w:val="auto"/>
          <w:sz w:val="24"/>
          <w:szCs w:val="28"/>
        </w:rPr>
      </w:pPr>
    </w:p>
    <w:p>
      <w:pPr>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说明：</w:t>
      </w:r>
    </w:p>
    <w:p>
      <w:pPr>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1、报价一览表按格式填列；</w:t>
      </w:r>
    </w:p>
    <w:p>
      <w:pPr>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2、若以联合体参与投标的，应在“供应商名称”处注明所有联合体名称。</w:t>
      </w:r>
    </w:p>
    <w:p>
      <w:pPr>
        <w:snapToGrid w:val="0"/>
        <w:spacing w:line="276" w:lineRule="auto"/>
        <w:ind w:firstLine="560" w:firstLineChars="200"/>
        <w:rPr>
          <w:rFonts w:hint="eastAsia" w:ascii="宋体" w:hAnsi="宋体"/>
          <w:color w:val="auto"/>
          <w:sz w:val="24"/>
          <w:szCs w:val="28"/>
        </w:rPr>
      </w:pPr>
      <w:r>
        <w:rPr>
          <w:rFonts w:hint="eastAsia" w:ascii="宋体" w:hAnsi="宋体"/>
          <w:color w:val="auto"/>
          <w:szCs w:val="28"/>
        </w:rPr>
        <w:br w:type="page"/>
      </w:r>
      <w:r>
        <w:rPr>
          <w:rFonts w:hint="eastAsia" w:ascii="宋体" w:hAnsi="宋体"/>
          <w:color w:val="auto"/>
          <w:szCs w:val="36"/>
        </w:rPr>
        <w:t>（二）分项报价明细表</w:t>
      </w:r>
    </w:p>
    <w:p>
      <w:pPr>
        <w:spacing w:line="276" w:lineRule="auto"/>
        <w:rPr>
          <w:rFonts w:hint="eastAsia" w:ascii="宋体" w:hAnsi="宋体"/>
          <w:color w:val="auto"/>
          <w:sz w:val="24"/>
          <w:szCs w:val="28"/>
        </w:rPr>
      </w:pPr>
      <w:r>
        <w:rPr>
          <w:rFonts w:hint="eastAsia" w:ascii="宋体" w:hAnsi="宋体"/>
          <w:color w:val="auto"/>
          <w:sz w:val="24"/>
          <w:szCs w:val="28"/>
        </w:rPr>
        <w:t>项目名称：</w:t>
      </w:r>
    </w:p>
    <w:p>
      <w:pPr>
        <w:spacing w:line="276" w:lineRule="auto"/>
        <w:rPr>
          <w:rFonts w:hint="eastAsia" w:ascii="宋体" w:hAnsi="宋体"/>
          <w:color w:val="auto"/>
          <w:sz w:val="24"/>
          <w:szCs w:val="28"/>
        </w:rPr>
      </w:pPr>
      <w:r>
        <w:rPr>
          <w:rFonts w:hint="eastAsia" w:ascii="宋体" w:hAnsi="宋体"/>
          <w:color w:val="auto"/>
          <w:sz w:val="24"/>
          <w:szCs w:val="28"/>
        </w:rPr>
        <w:t xml:space="preserve">                                                         单位：元</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05"/>
        <w:gridCol w:w="2220"/>
        <w:gridCol w:w="720"/>
        <w:gridCol w:w="832"/>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853" w:type="dxa"/>
            <w:noWrap w:val="0"/>
            <w:vAlign w:val="center"/>
          </w:tcPr>
          <w:p>
            <w:pPr>
              <w:spacing w:line="276" w:lineRule="auto"/>
              <w:jc w:val="center"/>
              <w:rPr>
                <w:rFonts w:hint="eastAsia" w:ascii="宋体" w:hAnsi="宋体"/>
                <w:b/>
                <w:color w:val="auto"/>
                <w:sz w:val="21"/>
                <w:szCs w:val="21"/>
              </w:rPr>
            </w:pPr>
            <w:r>
              <w:rPr>
                <w:rFonts w:hint="eastAsia" w:ascii="宋体" w:hAnsi="宋体"/>
                <w:b/>
                <w:color w:val="auto"/>
                <w:sz w:val="21"/>
                <w:szCs w:val="21"/>
              </w:rPr>
              <w:t>序号</w:t>
            </w:r>
          </w:p>
        </w:tc>
        <w:tc>
          <w:tcPr>
            <w:tcW w:w="1305" w:type="dxa"/>
            <w:noWrap w:val="0"/>
            <w:vAlign w:val="center"/>
          </w:tcPr>
          <w:p>
            <w:pPr>
              <w:spacing w:line="276" w:lineRule="auto"/>
              <w:jc w:val="center"/>
              <w:rPr>
                <w:rFonts w:hint="eastAsia" w:ascii="宋体" w:hAnsi="宋体"/>
                <w:b/>
                <w:color w:val="auto"/>
                <w:sz w:val="21"/>
                <w:szCs w:val="21"/>
              </w:rPr>
            </w:pPr>
            <w:r>
              <w:rPr>
                <w:rFonts w:hint="eastAsia" w:ascii="宋体" w:hAnsi="宋体"/>
                <w:b/>
                <w:color w:val="auto"/>
                <w:sz w:val="21"/>
                <w:szCs w:val="21"/>
              </w:rPr>
              <w:t>服务名称</w:t>
            </w:r>
          </w:p>
        </w:tc>
        <w:tc>
          <w:tcPr>
            <w:tcW w:w="2220" w:type="dxa"/>
            <w:noWrap w:val="0"/>
            <w:vAlign w:val="center"/>
          </w:tcPr>
          <w:p>
            <w:pPr>
              <w:spacing w:line="276" w:lineRule="auto"/>
              <w:jc w:val="center"/>
              <w:rPr>
                <w:rFonts w:hint="eastAsia" w:ascii="宋体" w:hAnsi="宋体"/>
                <w:b/>
                <w:color w:val="auto"/>
                <w:sz w:val="21"/>
                <w:szCs w:val="21"/>
              </w:rPr>
            </w:pPr>
            <w:r>
              <w:rPr>
                <w:rFonts w:hint="eastAsia" w:ascii="宋体" w:hAnsi="宋体"/>
                <w:b/>
                <w:color w:val="auto"/>
                <w:sz w:val="21"/>
                <w:szCs w:val="21"/>
              </w:rPr>
              <w:t>具体服务内容</w:t>
            </w:r>
          </w:p>
        </w:tc>
        <w:tc>
          <w:tcPr>
            <w:tcW w:w="720" w:type="dxa"/>
            <w:noWrap w:val="0"/>
            <w:vAlign w:val="center"/>
          </w:tcPr>
          <w:p>
            <w:pPr>
              <w:spacing w:line="276" w:lineRule="auto"/>
              <w:jc w:val="center"/>
              <w:rPr>
                <w:rFonts w:hint="eastAsia" w:ascii="宋体" w:hAnsi="宋体"/>
                <w:b/>
                <w:color w:val="auto"/>
                <w:sz w:val="21"/>
                <w:szCs w:val="21"/>
              </w:rPr>
            </w:pPr>
            <w:r>
              <w:rPr>
                <w:rFonts w:hint="eastAsia" w:ascii="宋体" w:hAnsi="宋体"/>
                <w:b/>
                <w:color w:val="auto"/>
                <w:sz w:val="21"/>
                <w:szCs w:val="21"/>
              </w:rPr>
              <w:t>单价</w:t>
            </w:r>
          </w:p>
        </w:tc>
        <w:tc>
          <w:tcPr>
            <w:tcW w:w="832" w:type="dxa"/>
            <w:noWrap w:val="0"/>
            <w:vAlign w:val="center"/>
          </w:tcPr>
          <w:p>
            <w:pPr>
              <w:spacing w:line="276" w:lineRule="auto"/>
              <w:jc w:val="center"/>
              <w:rPr>
                <w:rFonts w:hint="eastAsia" w:ascii="宋体" w:hAnsi="宋体"/>
                <w:b/>
                <w:color w:val="auto"/>
                <w:sz w:val="21"/>
                <w:szCs w:val="21"/>
              </w:rPr>
            </w:pPr>
            <w:r>
              <w:rPr>
                <w:rFonts w:hint="eastAsia" w:ascii="宋体" w:hAnsi="宋体"/>
                <w:b/>
                <w:color w:val="auto"/>
                <w:sz w:val="21"/>
                <w:szCs w:val="21"/>
              </w:rPr>
              <w:t>数量</w:t>
            </w:r>
          </w:p>
        </w:tc>
        <w:tc>
          <w:tcPr>
            <w:tcW w:w="2238" w:type="dxa"/>
            <w:noWrap w:val="0"/>
            <w:vAlign w:val="center"/>
          </w:tcPr>
          <w:p>
            <w:pPr>
              <w:spacing w:line="276" w:lineRule="auto"/>
              <w:jc w:val="center"/>
              <w:rPr>
                <w:rFonts w:hint="eastAsia" w:ascii="宋体" w:hAnsi="宋体"/>
                <w:b/>
                <w:color w:val="auto"/>
                <w:sz w:val="21"/>
                <w:szCs w:val="21"/>
              </w:rPr>
            </w:pPr>
            <w:r>
              <w:rPr>
                <w:rFonts w:hint="eastAsia" w:ascii="宋体" w:hAnsi="宋体"/>
                <w:b/>
                <w:color w:val="auto"/>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3"/>
              <w:spacing w:line="276" w:lineRule="auto"/>
              <w:ind w:left="0"/>
              <w:jc w:val="center"/>
              <w:outlineLvl w:val="0"/>
              <w:rPr>
                <w:rFonts w:hint="eastAsia" w:ascii="宋体" w:hAnsi="宋体"/>
                <w:color w:val="auto"/>
                <w:sz w:val="21"/>
                <w:szCs w:val="21"/>
              </w:rPr>
            </w:pPr>
            <w:r>
              <w:rPr>
                <w:rFonts w:hint="eastAsia" w:ascii="宋体" w:hAnsi="宋体"/>
                <w:color w:val="auto"/>
                <w:sz w:val="21"/>
                <w:szCs w:val="21"/>
              </w:rPr>
              <w:t>1</w:t>
            </w:r>
          </w:p>
        </w:tc>
        <w:tc>
          <w:tcPr>
            <w:tcW w:w="1305" w:type="dxa"/>
            <w:noWrap w:val="0"/>
            <w:vAlign w:val="center"/>
          </w:tcPr>
          <w:p>
            <w:pPr>
              <w:spacing w:line="276" w:lineRule="auto"/>
              <w:jc w:val="center"/>
              <w:rPr>
                <w:rFonts w:hint="eastAsia" w:ascii="宋体" w:hAnsi="宋体"/>
                <w:color w:val="auto"/>
                <w:sz w:val="21"/>
                <w:szCs w:val="21"/>
              </w:rPr>
            </w:pPr>
          </w:p>
        </w:tc>
        <w:tc>
          <w:tcPr>
            <w:tcW w:w="2220" w:type="dxa"/>
            <w:noWrap w:val="0"/>
            <w:vAlign w:val="top"/>
          </w:tcPr>
          <w:p>
            <w:pPr>
              <w:spacing w:line="276" w:lineRule="auto"/>
              <w:jc w:val="center"/>
              <w:rPr>
                <w:rFonts w:hint="eastAsia" w:ascii="宋体" w:hAnsi="宋体"/>
                <w:color w:val="auto"/>
                <w:sz w:val="21"/>
                <w:szCs w:val="21"/>
              </w:rPr>
            </w:pPr>
          </w:p>
        </w:tc>
        <w:tc>
          <w:tcPr>
            <w:tcW w:w="720" w:type="dxa"/>
            <w:noWrap w:val="0"/>
            <w:vAlign w:val="top"/>
          </w:tcPr>
          <w:p>
            <w:pPr>
              <w:spacing w:line="276" w:lineRule="auto"/>
              <w:jc w:val="center"/>
              <w:rPr>
                <w:rFonts w:hint="eastAsia" w:ascii="宋体" w:hAnsi="宋体"/>
                <w:color w:val="auto"/>
                <w:sz w:val="21"/>
                <w:szCs w:val="21"/>
              </w:rPr>
            </w:pPr>
          </w:p>
        </w:tc>
        <w:tc>
          <w:tcPr>
            <w:tcW w:w="832" w:type="dxa"/>
            <w:noWrap w:val="0"/>
            <w:vAlign w:val="top"/>
          </w:tcPr>
          <w:p>
            <w:pPr>
              <w:spacing w:line="276" w:lineRule="auto"/>
              <w:jc w:val="center"/>
              <w:rPr>
                <w:rFonts w:hint="eastAsia" w:ascii="宋体" w:hAnsi="宋体"/>
                <w:color w:val="auto"/>
                <w:sz w:val="21"/>
                <w:szCs w:val="21"/>
              </w:rPr>
            </w:pPr>
          </w:p>
        </w:tc>
        <w:tc>
          <w:tcPr>
            <w:tcW w:w="2238" w:type="dxa"/>
            <w:noWrap w:val="0"/>
            <w:vAlign w:val="top"/>
          </w:tcPr>
          <w:p>
            <w:pPr>
              <w:spacing w:line="276"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3"/>
              <w:spacing w:line="276" w:lineRule="auto"/>
              <w:ind w:left="0"/>
              <w:jc w:val="center"/>
              <w:outlineLvl w:val="0"/>
              <w:rPr>
                <w:rFonts w:hint="eastAsia" w:ascii="宋体" w:hAnsi="宋体"/>
                <w:color w:val="auto"/>
                <w:sz w:val="21"/>
                <w:szCs w:val="21"/>
              </w:rPr>
            </w:pPr>
            <w:r>
              <w:rPr>
                <w:rFonts w:hint="eastAsia" w:ascii="宋体" w:hAnsi="宋体"/>
                <w:color w:val="auto"/>
                <w:sz w:val="21"/>
                <w:szCs w:val="21"/>
              </w:rPr>
              <w:t>2</w:t>
            </w:r>
          </w:p>
        </w:tc>
        <w:tc>
          <w:tcPr>
            <w:tcW w:w="1305" w:type="dxa"/>
            <w:noWrap w:val="0"/>
            <w:vAlign w:val="center"/>
          </w:tcPr>
          <w:p>
            <w:pPr>
              <w:spacing w:line="276" w:lineRule="auto"/>
              <w:jc w:val="center"/>
              <w:rPr>
                <w:rFonts w:hint="eastAsia" w:ascii="宋体" w:hAnsi="宋体"/>
                <w:color w:val="auto"/>
                <w:sz w:val="21"/>
                <w:szCs w:val="21"/>
              </w:rPr>
            </w:pPr>
          </w:p>
        </w:tc>
        <w:tc>
          <w:tcPr>
            <w:tcW w:w="2220" w:type="dxa"/>
            <w:noWrap w:val="0"/>
            <w:vAlign w:val="top"/>
          </w:tcPr>
          <w:p>
            <w:pPr>
              <w:spacing w:line="276" w:lineRule="auto"/>
              <w:jc w:val="center"/>
              <w:rPr>
                <w:rFonts w:hint="eastAsia" w:ascii="宋体" w:hAnsi="宋体"/>
                <w:color w:val="auto"/>
                <w:sz w:val="21"/>
                <w:szCs w:val="21"/>
              </w:rPr>
            </w:pPr>
          </w:p>
        </w:tc>
        <w:tc>
          <w:tcPr>
            <w:tcW w:w="720" w:type="dxa"/>
            <w:noWrap w:val="0"/>
            <w:vAlign w:val="top"/>
          </w:tcPr>
          <w:p>
            <w:pPr>
              <w:spacing w:line="276" w:lineRule="auto"/>
              <w:jc w:val="center"/>
              <w:rPr>
                <w:rFonts w:hint="eastAsia" w:ascii="宋体" w:hAnsi="宋体"/>
                <w:color w:val="auto"/>
                <w:sz w:val="21"/>
                <w:szCs w:val="21"/>
              </w:rPr>
            </w:pPr>
          </w:p>
        </w:tc>
        <w:tc>
          <w:tcPr>
            <w:tcW w:w="832" w:type="dxa"/>
            <w:noWrap w:val="0"/>
            <w:vAlign w:val="top"/>
          </w:tcPr>
          <w:p>
            <w:pPr>
              <w:spacing w:line="276" w:lineRule="auto"/>
              <w:jc w:val="center"/>
              <w:rPr>
                <w:rFonts w:hint="eastAsia" w:ascii="宋体" w:hAnsi="宋体"/>
                <w:color w:val="auto"/>
                <w:sz w:val="21"/>
                <w:szCs w:val="21"/>
              </w:rPr>
            </w:pPr>
          </w:p>
        </w:tc>
        <w:tc>
          <w:tcPr>
            <w:tcW w:w="2238" w:type="dxa"/>
            <w:noWrap w:val="0"/>
            <w:vAlign w:val="top"/>
          </w:tcPr>
          <w:p>
            <w:pPr>
              <w:spacing w:line="276"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3"/>
              <w:spacing w:line="276" w:lineRule="auto"/>
              <w:ind w:left="0"/>
              <w:jc w:val="center"/>
              <w:outlineLvl w:val="0"/>
              <w:rPr>
                <w:rFonts w:hint="eastAsia" w:ascii="宋体" w:hAnsi="宋体"/>
                <w:color w:val="auto"/>
                <w:sz w:val="21"/>
                <w:szCs w:val="21"/>
              </w:rPr>
            </w:pPr>
            <w:r>
              <w:rPr>
                <w:rFonts w:hint="eastAsia" w:ascii="宋体" w:hAnsi="宋体"/>
                <w:color w:val="auto"/>
                <w:sz w:val="21"/>
                <w:szCs w:val="21"/>
              </w:rPr>
              <w:t>3</w:t>
            </w:r>
          </w:p>
        </w:tc>
        <w:tc>
          <w:tcPr>
            <w:tcW w:w="1305" w:type="dxa"/>
            <w:noWrap w:val="0"/>
            <w:vAlign w:val="center"/>
          </w:tcPr>
          <w:p>
            <w:pPr>
              <w:spacing w:line="276" w:lineRule="auto"/>
              <w:jc w:val="center"/>
              <w:rPr>
                <w:rFonts w:hint="eastAsia" w:ascii="宋体" w:hAnsi="宋体"/>
                <w:color w:val="auto"/>
                <w:sz w:val="21"/>
                <w:szCs w:val="21"/>
              </w:rPr>
            </w:pPr>
          </w:p>
        </w:tc>
        <w:tc>
          <w:tcPr>
            <w:tcW w:w="2220" w:type="dxa"/>
            <w:noWrap w:val="0"/>
            <w:vAlign w:val="top"/>
          </w:tcPr>
          <w:p>
            <w:pPr>
              <w:spacing w:line="276" w:lineRule="auto"/>
              <w:jc w:val="center"/>
              <w:rPr>
                <w:rFonts w:hint="eastAsia" w:ascii="宋体" w:hAnsi="宋体"/>
                <w:color w:val="auto"/>
                <w:sz w:val="21"/>
                <w:szCs w:val="21"/>
              </w:rPr>
            </w:pPr>
          </w:p>
        </w:tc>
        <w:tc>
          <w:tcPr>
            <w:tcW w:w="720" w:type="dxa"/>
            <w:noWrap w:val="0"/>
            <w:vAlign w:val="top"/>
          </w:tcPr>
          <w:p>
            <w:pPr>
              <w:spacing w:line="276" w:lineRule="auto"/>
              <w:jc w:val="center"/>
              <w:rPr>
                <w:rFonts w:hint="eastAsia" w:ascii="宋体" w:hAnsi="宋体"/>
                <w:color w:val="auto"/>
                <w:sz w:val="21"/>
                <w:szCs w:val="21"/>
              </w:rPr>
            </w:pPr>
          </w:p>
        </w:tc>
        <w:tc>
          <w:tcPr>
            <w:tcW w:w="832" w:type="dxa"/>
            <w:noWrap w:val="0"/>
            <w:vAlign w:val="top"/>
          </w:tcPr>
          <w:p>
            <w:pPr>
              <w:spacing w:line="276" w:lineRule="auto"/>
              <w:jc w:val="center"/>
              <w:rPr>
                <w:rFonts w:hint="eastAsia" w:ascii="宋体" w:hAnsi="宋体"/>
                <w:color w:val="auto"/>
                <w:sz w:val="21"/>
                <w:szCs w:val="21"/>
              </w:rPr>
            </w:pPr>
          </w:p>
        </w:tc>
        <w:tc>
          <w:tcPr>
            <w:tcW w:w="2238" w:type="dxa"/>
            <w:noWrap w:val="0"/>
            <w:vAlign w:val="top"/>
          </w:tcPr>
          <w:p>
            <w:pPr>
              <w:spacing w:line="276"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3"/>
              <w:spacing w:line="276" w:lineRule="auto"/>
              <w:ind w:left="0"/>
              <w:jc w:val="center"/>
              <w:outlineLvl w:val="0"/>
              <w:rPr>
                <w:rFonts w:hint="eastAsia" w:ascii="宋体" w:hAnsi="宋体"/>
                <w:color w:val="auto"/>
                <w:sz w:val="21"/>
                <w:szCs w:val="21"/>
              </w:rPr>
            </w:pPr>
            <w:r>
              <w:rPr>
                <w:rFonts w:hint="eastAsia" w:ascii="宋体" w:hAnsi="宋体"/>
                <w:color w:val="auto"/>
                <w:sz w:val="21"/>
                <w:szCs w:val="21"/>
              </w:rPr>
              <w:t>4</w:t>
            </w:r>
          </w:p>
        </w:tc>
        <w:tc>
          <w:tcPr>
            <w:tcW w:w="1305" w:type="dxa"/>
            <w:noWrap w:val="0"/>
            <w:vAlign w:val="center"/>
          </w:tcPr>
          <w:p>
            <w:pPr>
              <w:spacing w:line="276" w:lineRule="auto"/>
              <w:jc w:val="center"/>
              <w:rPr>
                <w:rFonts w:hint="eastAsia" w:ascii="宋体" w:hAnsi="宋体"/>
                <w:color w:val="auto"/>
                <w:sz w:val="21"/>
                <w:szCs w:val="21"/>
              </w:rPr>
            </w:pPr>
          </w:p>
        </w:tc>
        <w:tc>
          <w:tcPr>
            <w:tcW w:w="2220" w:type="dxa"/>
            <w:noWrap w:val="0"/>
            <w:vAlign w:val="top"/>
          </w:tcPr>
          <w:p>
            <w:pPr>
              <w:spacing w:line="276" w:lineRule="auto"/>
              <w:jc w:val="center"/>
              <w:rPr>
                <w:rFonts w:hint="eastAsia" w:ascii="宋体" w:hAnsi="宋体"/>
                <w:color w:val="auto"/>
                <w:sz w:val="21"/>
                <w:szCs w:val="21"/>
              </w:rPr>
            </w:pPr>
          </w:p>
        </w:tc>
        <w:tc>
          <w:tcPr>
            <w:tcW w:w="720" w:type="dxa"/>
            <w:noWrap w:val="0"/>
            <w:vAlign w:val="top"/>
          </w:tcPr>
          <w:p>
            <w:pPr>
              <w:spacing w:line="276" w:lineRule="auto"/>
              <w:jc w:val="center"/>
              <w:rPr>
                <w:rFonts w:hint="eastAsia" w:ascii="宋体" w:hAnsi="宋体"/>
                <w:color w:val="auto"/>
                <w:sz w:val="21"/>
                <w:szCs w:val="21"/>
              </w:rPr>
            </w:pPr>
          </w:p>
        </w:tc>
        <w:tc>
          <w:tcPr>
            <w:tcW w:w="832" w:type="dxa"/>
            <w:noWrap w:val="0"/>
            <w:vAlign w:val="top"/>
          </w:tcPr>
          <w:p>
            <w:pPr>
              <w:spacing w:line="276" w:lineRule="auto"/>
              <w:jc w:val="center"/>
              <w:rPr>
                <w:rFonts w:hint="eastAsia" w:ascii="宋体" w:hAnsi="宋体"/>
                <w:color w:val="auto"/>
                <w:sz w:val="21"/>
                <w:szCs w:val="21"/>
              </w:rPr>
            </w:pPr>
          </w:p>
        </w:tc>
        <w:tc>
          <w:tcPr>
            <w:tcW w:w="2238" w:type="dxa"/>
            <w:noWrap w:val="0"/>
            <w:vAlign w:val="top"/>
          </w:tcPr>
          <w:p>
            <w:pPr>
              <w:spacing w:line="276"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3"/>
              <w:spacing w:line="276" w:lineRule="auto"/>
              <w:ind w:left="0"/>
              <w:jc w:val="center"/>
              <w:outlineLvl w:val="0"/>
              <w:rPr>
                <w:rFonts w:hint="eastAsia" w:ascii="宋体" w:hAnsi="宋体"/>
                <w:color w:val="auto"/>
                <w:sz w:val="21"/>
                <w:szCs w:val="21"/>
              </w:rPr>
            </w:pPr>
            <w:r>
              <w:rPr>
                <w:rFonts w:hint="eastAsia" w:ascii="宋体" w:hAnsi="宋体"/>
                <w:color w:val="auto"/>
                <w:sz w:val="21"/>
                <w:szCs w:val="21"/>
              </w:rPr>
              <w:t>5</w:t>
            </w:r>
          </w:p>
        </w:tc>
        <w:tc>
          <w:tcPr>
            <w:tcW w:w="1305" w:type="dxa"/>
            <w:noWrap w:val="0"/>
            <w:vAlign w:val="center"/>
          </w:tcPr>
          <w:p>
            <w:pPr>
              <w:spacing w:line="276" w:lineRule="auto"/>
              <w:jc w:val="center"/>
              <w:rPr>
                <w:rFonts w:hint="eastAsia" w:ascii="宋体" w:hAnsi="宋体"/>
                <w:color w:val="auto"/>
                <w:sz w:val="21"/>
                <w:szCs w:val="21"/>
              </w:rPr>
            </w:pPr>
          </w:p>
        </w:tc>
        <w:tc>
          <w:tcPr>
            <w:tcW w:w="2220" w:type="dxa"/>
            <w:noWrap w:val="0"/>
            <w:vAlign w:val="top"/>
          </w:tcPr>
          <w:p>
            <w:pPr>
              <w:spacing w:line="276" w:lineRule="auto"/>
              <w:jc w:val="center"/>
              <w:rPr>
                <w:rFonts w:hint="eastAsia" w:ascii="宋体" w:hAnsi="宋体"/>
                <w:color w:val="auto"/>
                <w:sz w:val="21"/>
                <w:szCs w:val="21"/>
              </w:rPr>
            </w:pPr>
          </w:p>
        </w:tc>
        <w:tc>
          <w:tcPr>
            <w:tcW w:w="720" w:type="dxa"/>
            <w:noWrap w:val="0"/>
            <w:vAlign w:val="top"/>
          </w:tcPr>
          <w:p>
            <w:pPr>
              <w:spacing w:line="276" w:lineRule="auto"/>
              <w:jc w:val="center"/>
              <w:rPr>
                <w:rFonts w:hint="eastAsia" w:ascii="宋体" w:hAnsi="宋体"/>
                <w:color w:val="auto"/>
                <w:sz w:val="21"/>
                <w:szCs w:val="21"/>
              </w:rPr>
            </w:pPr>
          </w:p>
        </w:tc>
        <w:tc>
          <w:tcPr>
            <w:tcW w:w="832" w:type="dxa"/>
            <w:noWrap w:val="0"/>
            <w:vAlign w:val="top"/>
          </w:tcPr>
          <w:p>
            <w:pPr>
              <w:spacing w:line="276" w:lineRule="auto"/>
              <w:jc w:val="center"/>
              <w:rPr>
                <w:rFonts w:hint="eastAsia" w:ascii="宋体" w:hAnsi="宋体"/>
                <w:color w:val="auto"/>
                <w:sz w:val="21"/>
                <w:szCs w:val="21"/>
              </w:rPr>
            </w:pPr>
          </w:p>
        </w:tc>
        <w:tc>
          <w:tcPr>
            <w:tcW w:w="2238" w:type="dxa"/>
            <w:noWrap w:val="0"/>
            <w:vAlign w:val="top"/>
          </w:tcPr>
          <w:p>
            <w:pPr>
              <w:spacing w:line="276"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3"/>
              <w:spacing w:line="276" w:lineRule="auto"/>
              <w:ind w:left="0"/>
              <w:jc w:val="center"/>
              <w:outlineLvl w:val="0"/>
              <w:rPr>
                <w:rFonts w:hint="eastAsia" w:ascii="宋体" w:hAnsi="宋体"/>
                <w:color w:val="auto"/>
                <w:sz w:val="21"/>
                <w:szCs w:val="21"/>
              </w:rPr>
            </w:pPr>
            <w:r>
              <w:rPr>
                <w:rFonts w:hint="eastAsia" w:ascii="宋体" w:hAnsi="宋体"/>
                <w:color w:val="auto"/>
                <w:sz w:val="21"/>
                <w:szCs w:val="21"/>
              </w:rPr>
              <w:t>6</w:t>
            </w:r>
          </w:p>
        </w:tc>
        <w:tc>
          <w:tcPr>
            <w:tcW w:w="1305" w:type="dxa"/>
            <w:noWrap w:val="0"/>
            <w:vAlign w:val="center"/>
          </w:tcPr>
          <w:p>
            <w:pPr>
              <w:spacing w:line="276" w:lineRule="auto"/>
              <w:jc w:val="center"/>
              <w:rPr>
                <w:rFonts w:hint="eastAsia" w:ascii="宋体" w:hAnsi="宋体"/>
                <w:color w:val="auto"/>
                <w:sz w:val="21"/>
                <w:szCs w:val="21"/>
              </w:rPr>
            </w:pPr>
          </w:p>
        </w:tc>
        <w:tc>
          <w:tcPr>
            <w:tcW w:w="2220" w:type="dxa"/>
            <w:noWrap w:val="0"/>
            <w:vAlign w:val="top"/>
          </w:tcPr>
          <w:p>
            <w:pPr>
              <w:spacing w:line="276" w:lineRule="auto"/>
              <w:jc w:val="center"/>
              <w:rPr>
                <w:rFonts w:hint="eastAsia" w:ascii="宋体" w:hAnsi="宋体"/>
                <w:color w:val="auto"/>
                <w:sz w:val="21"/>
                <w:szCs w:val="21"/>
              </w:rPr>
            </w:pPr>
          </w:p>
        </w:tc>
        <w:tc>
          <w:tcPr>
            <w:tcW w:w="720" w:type="dxa"/>
            <w:noWrap w:val="0"/>
            <w:vAlign w:val="top"/>
          </w:tcPr>
          <w:p>
            <w:pPr>
              <w:spacing w:line="276" w:lineRule="auto"/>
              <w:jc w:val="center"/>
              <w:rPr>
                <w:rFonts w:hint="eastAsia" w:ascii="宋体" w:hAnsi="宋体"/>
                <w:color w:val="auto"/>
                <w:sz w:val="21"/>
                <w:szCs w:val="21"/>
              </w:rPr>
            </w:pPr>
          </w:p>
        </w:tc>
        <w:tc>
          <w:tcPr>
            <w:tcW w:w="832" w:type="dxa"/>
            <w:noWrap w:val="0"/>
            <w:vAlign w:val="top"/>
          </w:tcPr>
          <w:p>
            <w:pPr>
              <w:spacing w:line="276" w:lineRule="auto"/>
              <w:jc w:val="center"/>
              <w:rPr>
                <w:rFonts w:hint="eastAsia" w:ascii="宋体" w:hAnsi="宋体"/>
                <w:color w:val="auto"/>
                <w:sz w:val="21"/>
                <w:szCs w:val="21"/>
              </w:rPr>
            </w:pPr>
          </w:p>
        </w:tc>
        <w:tc>
          <w:tcPr>
            <w:tcW w:w="2238" w:type="dxa"/>
            <w:noWrap w:val="0"/>
            <w:vAlign w:val="top"/>
          </w:tcPr>
          <w:p>
            <w:pPr>
              <w:spacing w:line="276"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3"/>
              <w:spacing w:line="276" w:lineRule="auto"/>
              <w:ind w:left="0"/>
              <w:jc w:val="center"/>
              <w:outlineLvl w:val="0"/>
              <w:rPr>
                <w:rFonts w:hint="eastAsia" w:ascii="宋体" w:hAnsi="宋体"/>
                <w:color w:val="auto"/>
                <w:sz w:val="21"/>
                <w:szCs w:val="21"/>
              </w:rPr>
            </w:pPr>
            <w:r>
              <w:rPr>
                <w:rFonts w:hint="eastAsia" w:ascii="宋体" w:hAnsi="宋体"/>
                <w:color w:val="auto"/>
                <w:sz w:val="21"/>
                <w:szCs w:val="21"/>
              </w:rPr>
              <w:t>7</w:t>
            </w:r>
          </w:p>
        </w:tc>
        <w:tc>
          <w:tcPr>
            <w:tcW w:w="1305" w:type="dxa"/>
            <w:noWrap w:val="0"/>
            <w:vAlign w:val="center"/>
          </w:tcPr>
          <w:p>
            <w:pPr>
              <w:spacing w:line="276" w:lineRule="auto"/>
              <w:jc w:val="center"/>
              <w:rPr>
                <w:rFonts w:hint="eastAsia" w:ascii="宋体" w:hAnsi="宋体"/>
                <w:color w:val="auto"/>
                <w:sz w:val="21"/>
                <w:szCs w:val="21"/>
              </w:rPr>
            </w:pPr>
          </w:p>
        </w:tc>
        <w:tc>
          <w:tcPr>
            <w:tcW w:w="2220" w:type="dxa"/>
            <w:noWrap w:val="0"/>
            <w:vAlign w:val="top"/>
          </w:tcPr>
          <w:p>
            <w:pPr>
              <w:spacing w:line="276" w:lineRule="auto"/>
              <w:jc w:val="center"/>
              <w:rPr>
                <w:rFonts w:hint="eastAsia" w:ascii="宋体" w:hAnsi="宋体"/>
                <w:color w:val="auto"/>
                <w:sz w:val="21"/>
                <w:szCs w:val="21"/>
              </w:rPr>
            </w:pPr>
          </w:p>
        </w:tc>
        <w:tc>
          <w:tcPr>
            <w:tcW w:w="720" w:type="dxa"/>
            <w:noWrap w:val="0"/>
            <w:vAlign w:val="top"/>
          </w:tcPr>
          <w:p>
            <w:pPr>
              <w:spacing w:line="276" w:lineRule="auto"/>
              <w:jc w:val="center"/>
              <w:rPr>
                <w:rFonts w:hint="eastAsia" w:ascii="宋体" w:hAnsi="宋体"/>
                <w:color w:val="auto"/>
                <w:sz w:val="21"/>
                <w:szCs w:val="21"/>
              </w:rPr>
            </w:pPr>
          </w:p>
        </w:tc>
        <w:tc>
          <w:tcPr>
            <w:tcW w:w="832" w:type="dxa"/>
            <w:noWrap w:val="0"/>
            <w:vAlign w:val="top"/>
          </w:tcPr>
          <w:p>
            <w:pPr>
              <w:spacing w:line="276" w:lineRule="auto"/>
              <w:jc w:val="center"/>
              <w:rPr>
                <w:rFonts w:hint="eastAsia" w:ascii="宋体" w:hAnsi="宋体"/>
                <w:color w:val="auto"/>
                <w:sz w:val="21"/>
                <w:szCs w:val="21"/>
              </w:rPr>
            </w:pPr>
          </w:p>
        </w:tc>
        <w:tc>
          <w:tcPr>
            <w:tcW w:w="2238" w:type="dxa"/>
            <w:noWrap w:val="0"/>
            <w:vAlign w:val="top"/>
          </w:tcPr>
          <w:p>
            <w:pPr>
              <w:spacing w:line="276"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3"/>
              <w:spacing w:line="276" w:lineRule="auto"/>
              <w:ind w:left="0"/>
              <w:jc w:val="center"/>
              <w:outlineLvl w:val="0"/>
              <w:rPr>
                <w:rFonts w:hint="eastAsia" w:ascii="宋体" w:hAnsi="宋体"/>
                <w:color w:val="auto"/>
                <w:sz w:val="21"/>
                <w:szCs w:val="21"/>
              </w:rPr>
            </w:pPr>
            <w:r>
              <w:rPr>
                <w:rFonts w:hint="eastAsia" w:ascii="宋体" w:hAnsi="宋体"/>
                <w:color w:val="auto"/>
                <w:sz w:val="21"/>
                <w:szCs w:val="21"/>
              </w:rPr>
              <w:t>8</w:t>
            </w:r>
          </w:p>
        </w:tc>
        <w:tc>
          <w:tcPr>
            <w:tcW w:w="1305" w:type="dxa"/>
            <w:noWrap w:val="0"/>
            <w:vAlign w:val="center"/>
          </w:tcPr>
          <w:p>
            <w:pPr>
              <w:spacing w:line="276" w:lineRule="auto"/>
              <w:jc w:val="center"/>
              <w:rPr>
                <w:rFonts w:hint="eastAsia" w:ascii="宋体" w:hAnsi="宋体"/>
                <w:color w:val="auto"/>
                <w:sz w:val="21"/>
                <w:szCs w:val="21"/>
              </w:rPr>
            </w:pPr>
          </w:p>
        </w:tc>
        <w:tc>
          <w:tcPr>
            <w:tcW w:w="2220" w:type="dxa"/>
            <w:noWrap w:val="0"/>
            <w:vAlign w:val="top"/>
          </w:tcPr>
          <w:p>
            <w:pPr>
              <w:spacing w:line="276" w:lineRule="auto"/>
              <w:jc w:val="center"/>
              <w:rPr>
                <w:rFonts w:hint="eastAsia" w:ascii="宋体" w:hAnsi="宋体"/>
                <w:color w:val="auto"/>
                <w:sz w:val="21"/>
                <w:szCs w:val="21"/>
              </w:rPr>
            </w:pPr>
          </w:p>
        </w:tc>
        <w:tc>
          <w:tcPr>
            <w:tcW w:w="720" w:type="dxa"/>
            <w:noWrap w:val="0"/>
            <w:vAlign w:val="top"/>
          </w:tcPr>
          <w:p>
            <w:pPr>
              <w:spacing w:line="276" w:lineRule="auto"/>
              <w:jc w:val="center"/>
              <w:rPr>
                <w:rFonts w:hint="eastAsia" w:ascii="宋体" w:hAnsi="宋体"/>
                <w:color w:val="auto"/>
                <w:sz w:val="21"/>
                <w:szCs w:val="21"/>
              </w:rPr>
            </w:pPr>
          </w:p>
        </w:tc>
        <w:tc>
          <w:tcPr>
            <w:tcW w:w="832" w:type="dxa"/>
            <w:noWrap w:val="0"/>
            <w:vAlign w:val="top"/>
          </w:tcPr>
          <w:p>
            <w:pPr>
              <w:spacing w:line="276" w:lineRule="auto"/>
              <w:jc w:val="center"/>
              <w:rPr>
                <w:rFonts w:hint="eastAsia" w:ascii="宋体" w:hAnsi="宋体"/>
                <w:color w:val="auto"/>
                <w:sz w:val="21"/>
                <w:szCs w:val="21"/>
              </w:rPr>
            </w:pPr>
          </w:p>
        </w:tc>
        <w:tc>
          <w:tcPr>
            <w:tcW w:w="2238" w:type="dxa"/>
            <w:noWrap w:val="0"/>
            <w:vAlign w:val="top"/>
          </w:tcPr>
          <w:p>
            <w:pPr>
              <w:spacing w:line="276"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3"/>
              <w:spacing w:line="276" w:lineRule="auto"/>
              <w:ind w:left="0"/>
              <w:jc w:val="center"/>
              <w:outlineLvl w:val="0"/>
              <w:rPr>
                <w:rFonts w:hint="eastAsia" w:ascii="宋体" w:hAnsi="宋体"/>
                <w:color w:val="auto"/>
                <w:sz w:val="21"/>
                <w:szCs w:val="21"/>
              </w:rPr>
            </w:pPr>
            <w:r>
              <w:rPr>
                <w:rFonts w:hint="eastAsia" w:ascii="宋体" w:hAnsi="宋体"/>
                <w:color w:val="auto"/>
                <w:sz w:val="21"/>
                <w:szCs w:val="21"/>
              </w:rPr>
              <w:t>9</w:t>
            </w:r>
          </w:p>
        </w:tc>
        <w:tc>
          <w:tcPr>
            <w:tcW w:w="1305" w:type="dxa"/>
            <w:noWrap w:val="0"/>
            <w:vAlign w:val="center"/>
          </w:tcPr>
          <w:p>
            <w:pPr>
              <w:spacing w:line="276" w:lineRule="auto"/>
              <w:jc w:val="center"/>
              <w:rPr>
                <w:rFonts w:hint="eastAsia" w:ascii="宋体" w:hAnsi="宋体"/>
                <w:color w:val="auto"/>
                <w:sz w:val="21"/>
                <w:szCs w:val="21"/>
              </w:rPr>
            </w:pPr>
          </w:p>
        </w:tc>
        <w:tc>
          <w:tcPr>
            <w:tcW w:w="2220" w:type="dxa"/>
            <w:noWrap w:val="0"/>
            <w:vAlign w:val="top"/>
          </w:tcPr>
          <w:p>
            <w:pPr>
              <w:spacing w:line="276" w:lineRule="auto"/>
              <w:jc w:val="center"/>
              <w:rPr>
                <w:rFonts w:hint="eastAsia" w:ascii="宋体" w:hAnsi="宋体"/>
                <w:color w:val="auto"/>
                <w:sz w:val="21"/>
                <w:szCs w:val="21"/>
              </w:rPr>
            </w:pPr>
          </w:p>
        </w:tc>
        <w:tc>
          <w:tcPr>
            <w:tcW w:w="720" w:type="dxa"/>
            <w:noWrap w:val="0"/>
            <w:vAlign w:val="top"/>
          </w:tcPr>
          <w:p>
            <w:pPr>
              <w:spacing w:line="276" w:lineRule="auto"/>
              <w:jc w:val="center"/>
              <w:rPr>
                <w:rFonts w:hint="eastAsia" w:ascii="宋体" w:hAnsi="宋体"/>
                <w:color w:val="auto"/>
                <w:sz w:val="21"/>
                <w:szCs w:val="21"/>
              </w:rPr>
            </w:pPr>
          </w:p>
        </w:tc>
        <w:tc>
          <w:tcPr>
            <w:tcW w:w="832" w:type="dxa"/>
            <w:noWrap w:val="0"/>
            <w:vAlign w:val="top"/>
          </w:tcPr>
          <w:p>
            <w:pPr>
              <w:spacing w:line="276" w:lineRule="auto"/>
              <w:jc w:val="center"/>
              <w:rPr>
                <w:rFonts w:hint="eastAsia" w:ascii="宋体" w:hAnsi="宋体"/>
                <w:color w:val="auto"/>
                <w:sz w:val="21"/>
                <w:szCs w:val="21"/>
              </w:rPr>
            </w:pPr>
          </w:p>
        </w:tc>
        <w:tc>
          <w:tcPr>
            <w:tcW w:w="2238" w:type="dxa"/>
            <w:noWrap w:val="0"/>
            <w:vAlign w:val="top"/>
          </w:tcPr>
          <w:p>
            <w:pPr>
              <w:spacing w:line="276"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3"/>
              <w:spacing w:line="276" w:lineRule="auto"/>
              <w:ind w:left="0"/>
              <w:jc w:val="center"/>
              <w:outlineLvl w:val="0"/>
              <w:rPr>
                <w:rFonts w:hint="eastAsia" w:ascii="宋体" w:hAnsi="宋体"/>
                <w:color w:val="auto"/>
                <w:sz w:val="21"/>
                <w:szCs w:val="21"/>
              </w:rPr>
            </w:pPr>
            <w:r>
              <w:rPr>
                <w:rFonts w:hint="eastAsia" w:ascii="宋体" w:hAnsi="宋体"/>
                <w:color w:val="auto"/>
                <w:sz w:val="21"/>
                <w:szCs w:val="21"/>
              </w:rPr>
              <w:t>10</w:t>
            </w:r>
          </w:p>
        </w:tc>
        <w:tc>
          <w:tcPr>
            <w:tcW w:w="1305" w:type="dxa"/>
            <w:noWrap w:val="0"/>
            <w:vAlign w:val="center"/>
          </w:tcPr>
          <w:p>
            <w:pPr>
              <w:spacing w:line="276" w:lineRule="auto"/>
              <w:jc w:val="center"/>
              <w:rPr>
                <w:rFonts w:hint="eastAsia" w:ascii="宋体" w:hAnsi="宋体"/>
                <w:color w:val="auto"/>
                <w:sz w:val="21"/>
                <w:szCs w:val="21"/>
              </w:rPr>
            </w:pPr>
          </w:p>
        </w:tc>
        <w:tc>
          <w:tcPr>
            <w:tcW w:w="2220" w:type="dxa"/>
            <w:noWrap w:val="0"/>
            <w:vAlign w:val="top"/>
          </w:tcPr>
          <w:p>
            <w:pPr>
              <w:spacing w:line="276" w:lineRule="auto"/>
              <w:jc w:val="center"/>
              <w:rPr>
                <w:rFonts w:hint="eastAsia" w:ascii="宋体" w:hAnsi="宋体"/>
                <w:color w:val="auto"/>
                <w:sz w:val="21"/>
                <w:szCs w:val="21"/>
              </w:rPr>
            </w:pPr>
          </w:p>
        </w:tc>
        <w:tc>
          <w:tcPr>
            <w:tcW w:w="720" w:type="dxa"/>
            <w:noWrap w:val="0"/>
            <w:vAlign w:val="top"/>
          </w:tcPr>
          <w:p>
            <w:pPr>
              <w:spacing w:line="276" w:lineRule="auto"/>
              <w:jc w:val="center"/>
              <w:rPr>
                <w:rFonts w:hint="eastAsia" w:ascii="宋体" w:hAnsi="宋体"/>
                <w:color w:val="auto"/>
                <w:sz w:val="21"/>
                <w:szCs w:val="21"/>
              </w:rPr>
            </w:pPr>
          </w:p>
        </w:tc>
        <w:tc>
          <w:tcPr>
            <w:tcW w:w="832" w:type="dxa"/>
            <w:noWrap w:val="0"/>
            <w:vAlign w:val="top"/>
          </w:tcPr>
          <w:p>
            <w:pPr>
              <w:spacing w:line="276" w:lineRule="auto"/>
              <w:jc w:val="center"/>
              <w:rPr>
                <w:rFonts w:hint="eastAsia" w:ascii="宋体" w:hAnsi="宋体"/>
                <w:color w:val="auto"/>
                <w:sz w:val="21"/>
                <w:szCs w:val="21"/>
              </w:rPr>
            </w:pPr>
          </w:p>
        </w:tc>
        <w:tc>
          <w:tcPr>
            <w:tcW w:w="2238" w:type="dxa"/>
            <w:noWrap w:val="0"/>
            <w:vAlign w:val="top"/>
          </w:tcPr>
          <w:p>
            <w:pPr>
              <w:spacing w:line="276"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3"/>
              <w:spacing w:line="276" w:lineRule="auto"/>
              <w:ind w:left="0"/>
              <w:jc w:val="center"/>
              <w:outlineLvl w:val="0"/>
              <w:rPr>
                <w:rFonts w:hint="eastAsia" w:ascii="宋体" w:hAnsi="宋体"/>
                <w:color w:val="auto"/>
                <w:sz w:val="21"/>
                <w:szCs w:val="21"/>
              </w:rPr>
            </w:pPr>
            <w:r>
              <w:rPr>
                <w:rFonts w:hint="eastAsia" w:ascii="宋体" w:hAnsi="宋体"/>
                <w:color w:val="auto"/>
                <w:sz w:val="21"/>
                <w:szCs w:val="21"/>
              </w:rPr>
              <w:t>11</w:t>
            </w:r>
          </w:p>
        </w:tc>
        <w:tc>
          <w:tcPr>
            <w:tcW w:w="1305" w:type="dxa"/>
            <w:noWrap w:val="0"/>
            <w:vAlign w:val="center"/>
          </w:tcPr>
          <w:p>
            <w:pPr>
              <w:spacing w:line="276" w:lineRule="auto"/>
              <w:jc w:val="center"/>
              <w:rPr>
                <w:rFonts w:hint="eastAsia" w:ascii="宋体" w:hAnsi="宋体"/>
                <w:color w:val="auto"/>
                <w:sz w:val="21"/>
                <w:szCs w:val="21"/>
              </w:rPr>
            </w:pPr>
            <w:r>
              <w:rPr>
                <w:rFonts w:hint="eastAsia" w:ascii="宋体" w:hAnsi="宋体"/>
                <w:color w:val="auto"/>
                <w:sz w:val="21"/>
                <w:szCs w:val="21"/>
              </w:rPr>
              <w:t>……</w:t>
            </w:r>
          </w:p>
        </w:tc>
        <w:tc>
          <w:tcPr>
            <w:tcW w:w="2220" w:type="dxa"/>
            <w:noWrap w:val="0"/>
            <w:vAlign w:val="top"/>
          </w:tcPr>
          <w:p>
            <w:pPr>
              <w:spacing w:line="276" w:lineRule="auto"/>
              <w:jc w:val="center"/>
              <w:rPr>
                <w:rFonts w:hint="eastAsia" w:ascii="宋体" w:hAnsi="宋体"/>
                <w:color w:val="auto"/>
                <w:sz w:val="21"/>
                <w:szCs w:val="21"/>
              </w:rPr>
            </w:pPr>
          </w:p>
        </w:tc>
        <w:tc>
          <w:tcPr>
            <w:tcW w:w="720" w:type="dxa"/>
            <w:noWrap w:val="0"/>
            <w:vAlign w:val="top"/>
          </w:tcPr>
          <w:p>
            <w:pPr>
              <w:spacing w:line="276" w:lineRule="auto"/>
              <w:jc w:val="center"/>
              <w:rPr>
                <w:rFonts w:hint="eastAsia" w:ascii="宋体" w:hAnsi="宋体"/>
                <w:color w:val="auto"/>
                <w:sz w:val="21"/>
                <w:szCs w:val="21"/>
              </w:rPr>
            </w:pPr>
          </w:p>
        </w:tc>
        <w:tc>
          <w:tcPr>
            <w:tcW w:w="832" w:type="dxa"/>
            <w:noWrap w:val="0"/>
            <w:vAlign w:val="top"/>
          </w:tcPr>
          <w:p>
            <w:pPr>
              <w:spacing w:line="276" w:lineRule="auto"/>
              <w:jc w:val="center"/>
              <w:rPr>
                <w:rFonts w:hint="eastAsia" w:ascii="宋体" w:hAnsi="宋体"/>
                <w:color w:val="auto"/>
                <w:sz w:val="21"/>
                <w:szCs w:val="21"/>
              </w:rPr>
            </w:pPr>
          </w:p>
        </w:tc>
        <w:tc>
          <w:tcPr>
            <w:tcW w:w="2238" w:type="dxa"/>
            <w:noWrap w:val="0"/>
            <w:vAlign w:val="top"/>
          </w:tcPr>
          <w:p>
            <w:pPr>
              <w:spacing w:line="276"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3" w:type="dxa"/>
            <w:noWrap w:val="0"/>
            <w:vAlign w:val="center"/>
          </w:tcPr>
          <w:p>
            <w:pPr>
              <w:pStyle w:val="23"/>
              <w:spacing w:line="276" w:lineRule="auto"/>
              <w:ind w:left="0"/>
              <w:jc w:val="center"/>
              <w:outlineLvl w:val="0"/>
              <w:rPr>
                <w:rFonts w:hint="eastAsia" w:ascii="宋体" w:hAnsi="宋体"/>
                <w:color w:val="auto"/>
                <w:sz w:val="21"/>
                <w:szCs w:val="21"/>
              </w:rPr>
            </w:pPr>
            <w:r>
              <w:rPr>
                <w:rFonts w:hint="eastAsia" w:ascii="宋体" w:hAnsi="宋体"/>
                <w:color w:val="auto"/>
                <w:sz w:val="21"/>
                <w:szCs w:val="21"/>
              </w:rPr>
              <w:t>12</w:t>
            </w:r>
          </w:p>
        </w:tc>
        <w:tc>
          <w:tcPr>
            <w:tcW w:w="1305" w:type="dxa"/>
            <w:noWrap w:val="0"/>
            <w:vAlign w:val="center"/>
          </w:tcPr>
          <w:p>
            <w:pPr>
              <w:spacing w:line="276" w:lineRule="auto"/>
              <w:jc w:val="center"/>
              <w:rPr>
                <w:rFonts w:hint="eastAsia" w:ascii="宋体" w:hAnsi="宋体"/>
                <w:color w:val="auto"/>
                <w:sz w:val="21"/>
                <w:szCs w:val="21"/>
              </w:rPr>
            </w:pPr>
            <w:r>
              <w:rPr>
                <w:rFonts w:hint="eastAsia" w:ascii="宋体" w:hAnsi="宋体"/>
                <w:color w:val="auto"/>
                <w:sz w:val="21"/>
                <w:szCs w:val="21"/>
              </w:rPr>
              <w:t>总计</w:t>
            </w:r>
          </w:p>
        </w:tc>
        <w:tc>
          <w:tcPr>
            <w:tcW w:w="6010" w:type="dxa"/>
            <w:gridSpan w:val="4"/>
            <w:noWrap w:val="0"/>
            <w:vAlign w:val="top"/>
          </w:tcPr>
          <w:p>
            <w:pPr>
              <w:spacing w:line="276" w:lineRule="auto"/>
              <w:rPr>
                <w:rFonts w:hint="eastAsia" w:ascii="宋体" w:hAnsi="宋体"/>
                <w:color w:val="auto"/>
                <w:sz w:val="21"/>
                <w:szCs w:val="21"/>
              </w:rPr>
            </w:pPr>
          </w:p>
        </w:tc>
      </w:tr>
    </w:tbl>
    <w:p>
      <w:pPr>
        <w:spacing w:line="276" w:lineRule="auto"/>
        <w:ind w:firstLine="480" w:firstLineChars="200"/>
        <w:rPr>
          <w:rFonts w:hint="eastAsia" w:ascii="宋体" w:hAnsi="宋体"/>
          <w:color w:val="auto"/>
          <w:sz w:val="24"/>
          <w:szCs w:val="28"/>
        </w:rPr>
      </w:pPr>
    </w:p>
    <w:p>
      <w:pPr>
        <w:spacing w:line="276" w:lineRule="auto"/>
        <w:ind w:firstLine="600" w:firstLineChars="250"/>
        <w:rPr>
          <w:rFonts w:hint="eastAsia" w:ascii="宋体" w:hAnsi="宋体"/>
          <w:color w:val="auto"/>
          <w:sz w:val="24"/>
          <w:szCs w:val="28"/>
        </w:rPr>
      </w:pPr>
      <w:r>
        <w:rPr>
          <w:rFonts w:hint="eastAsia" w:ascii="宋体" w:hAnsi="宋体"/>
          <w:color w:val="auto"/>
          <w:sz w:val="24"/>
          <w:szCs w:val="28"/>
        </w:rPr>
        <w:t>供应商：                                  法定代表人授权代表：</w:t>
      </w:r>
    </w:p>
    <w:p>
      <w:pPr>
        <w:spacing w:line="276" w:lineRule="auto"/>
        <w:rPr>
          <w:rFonts w:hint="eastAsia" w:ascii="宋体" w:hAnsi="宋体"/>
          <w:color w:val="auto"/>
          <w:sz w:val="24"/>
          <w:szCs w:val="28"/>
        </w:rPr>
      </w:pPr>
      <w:r>
        <w:rPr>
          <w:rFonts w:hint="eastAsia" w:ascii="宋体" w:hAnsi="宋体"/>
          <w:color w:val="auto"/>
          <w:sz w:val="24"/>
          <w:szCs w:val="28"/>
        </w:rPr>
        <w:t xml:space="preserve">  （供应商公章）                               （签字或盖章）</w:t>
      </w:r>
    </w:p>
    <w:p>
      <w:pPr>
        <w:spacing w:line="276" w:lineRule="auto"/>
        <w:rPr>
          <w:rFonts w:hint="eastAsia" w:ascii="宋体" w:hAnsi="宋体"/>
          <w:color w:val="auto"/>
          <w:sz w:val="24"/>
          <w:szCs w:val="28"/>
        </w:rPr>
      </w:pPr>
    </w:p>
    <w:p>
      <w:pPr>
        <w:spacing w:line="276" w:lineRule="auto"/>
        <w:rPr>
          <w:rFonts w:hint="eastAsia" w:ascii="宋体" w:hAnsi="宋体"/>
          <w:color w:val="auto"/>
          <w:sz w:val="24"/>
          <w:szCs w:val="28"/>
        </w:rPr>
      </w:pPr>
    </w:p>
    <w:p>
      <w:pPr>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 xml:space="preserve">                                            年     月     日</w:t>
      </w:r>
    </w:p>
    <w:p>
      <w:pPr>
        <w:snapToGrid w:val="0"/>
        <w:spacing w:line="276" w:lineRule="auto"/>
        <w:ind w:firstLine="480" w:firstLineChars="200"/>
        <w:rPr>
          <w:rFonts w:hint="eastAsia" w:ascii="宋体" w:hAnsi="宋体"/>
          <w:color w:val="auto"/>
          <w:sz w:val="24"/>
          <w:szCs w:val="28"/>
        </w:rPr>
      </w:pPr>
    </w:p>
    <w:p>
      <w:pPr>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注：</w:t>
      </w:r>
    </w:p>
    <w:p>
      <w:pPr>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1、请供应商完整填写本表；</w:t>
      </w:r>
    </w:p>
    <w:p>
      <w:pPr>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2、该表可扩展，并逐页签字或盖章。</w:t>
      </w:r>
    </w:p>
    <w:p>
      <w:pPr>
        <w:pStyle w:val="3"/>
        <w:pageBreakBefore/>
        <w:spacing w:line="276" w:lineRule="auto"/>
        <w:rPr>
          <w:rFonts w:hint="eastAsia"/>
          <w:b/>
          <w:color w:val="auto"/>
          <w:szCs w:val="28"/>
        </w:rPr>
      </w:pPr>
      <w:bookmarkStart w:id="60" w:name="_Toc965"/>
      <w:bookmarkStart w:id="61" w:name="_Toc429584885"/>
      <w:bookmarkStart w:id="62" w:name="_Toc441065695"/>
      <w:r>
        <w:rPr>
          <w:rFonts w:hint="eastAsia"/>
          <w:b/>
          <w:color w:val="auto"/>
          <w:szCs w:val="28"/>
        </w:rPr>
        <w:t>二、资格文件</w:t>
      </w:r>
      <w:bookmarkEnd w:id="60"/>
      <w:bookmarkEnd w:id="61"/>
      <w:bookmarkEnd w:id="62"/>
    </w:p>
    <w:p>
      <w:pPr>
        <w:tabs>
          <w:tab w:val="left" w:pos="6300"/>
        </w:tabs>
        <w:snapToGrid w:val="0"/>
        <w:spacing w:line="276" w:lineRule="auto"/>
        <w:ind w:firstLine="570"/>
        <w:rPr>
          <w:rFonts w:hint="eastAsia" w:ascii="宋体" w:hAnsi="宋体"/>
          <w:color w:val="auto"/>
        </w:rPr>
      </w:pPr>
      <w:r>
        <w:rPr>
          <w:rFonts w:hint="eastAsia" w:ascii="宋体" w:hAnsi="宋体"/>
          <w:color w:val="auto"/>
        </w:rPr>
        <w:t>（一）营业执照（副本）</w:t>
      </w:r>
      <w:r>
        <w:rPr>
          <w:rFonts w:hint="eastAsia" w:ascii="宋体" w:hAnsi="宋体"/>
          <w:color w:val="auto"/>
          <w:szCs w:val="28"/>
        </w:rPr>
        <w:t>或事业单位法人证书（副本）</w:t>
      </w:r>
      <w:r>
        <w:rPr>
          <w:rFonts w:hint="eastAsia" w:ascii="宋体" w:hAnsi="宋体"/>
          <w:color w:val="auto"/>
        </w:rPr>
        <w:t>复印件</w:t>
      </w:r>
    </w:p>
    <w:p>
      <w:pPr>
        <w:tabs>
          <w:tab w:val="left" w:pos="6300"/>
        </w:tabs>
        <w:snapToGrid w:val="0"/>
        <w:spacing w:line="276" w:lineRule="auto"/>
        <w:ind w:firstLine="570"/>
        <w:rPr>
          <w:rFonts w:hint="eastAsia" w:ascii="宋体" w:hAnsi="宋体"/>
          <w:color w:val="auto"/>
        </w:rPr>
      </w:pPr>
    </w:p>
    <w:p>
      <w:pPr>
        <w:tabs>
          <w:tab w:val="left" w:pos="6300"/>
        </w:tabs>
        <w:snapToGrid w:val="0"/>
        <w:spacing w:line="276" w:lineRule="auto"/>
        <w:ind w:firstLine="570"/>
        <w:rPr>
          <w:rFonts w:hint="eastAsia" w:ascii="宋体" w:hAnsi="宋体"/>
          <w:color w:val="auto"/>
        </w:rPr>
      </w:pPr>
      <w:r>
        <w:rPr>
          <w:rFonts w:hint="eastAsia" w:ascii="宋体" w:hAnsi="宋体"/>
          <w:color w:val="auto"/>
        </w:rPr>
        <w:t>（二）组织机构代码证复印件</w:t>
      </w:r>
    </w:p>
    <w:p>
      <w:pPr>
        <w:tabs>
          <w:tab w:val="left" w:pos="6300"/>
        </w:tabs>
        <w:snapToGrid w:val="0"/>
        <w:spacing w:line="276" w:lineRule="auto"/>
        <w:rPr>
          <w:rFonts w:hint="eastAsia" w:ascii="宋体" w:hAnsi="宋体"/>
          <w:color w:val="auto"/>
        </w:rPr>
      </w:pPr>
    </w:p>
    <w:p>
      <w:pPr>
        <w:snapToGrid w:val="0"/>
        <w:spacing w:before="120" w:beforeLines="50" w:line="276" w:lineRule="auto"/>
        <w:jc w:val="center"/>
        <w:rPr>
          <w:rFonts w:hint="eastAsia" w:ascii="宋体" w:hAnsi="宋体"/>
          <w:color w:val="auto"/>
          <w:szCs w:val="28"/>
        </w:rPr>
      </w:pPr>
      <w:r>
        <w:rPr>
          <w:rFonts w:hint="eastAsia" w:ascii="宋体" w:hAnsi="宋体"/>
          <w:color w:val="auto"/>
        </w:rPr>
        <w:br w:type="page"/>
      </w:r>
      <w:r>
        <w:rPr>
          <w:rFonts w:hint="eastAsia" w:ascii="宋体" w:hAnsi="宋体"/>
          <w:color w:val="auto"/>
          <w:szCs w:val="28"/>
        </w:rPr>
        <w:t>（三）竞争性磋商参与函（格式）</w:t>
      </w:r>
    </w:p>
    <w:p>
      <w:pPr>
        <w:spacing w:line="276" w:lineRule="auto"/>
        <w:rPr>
          <w:rFonts w:hint="eastAsia" w:ascii="宋体" w:hAnsi="宋体"/>
          <w:color w:val="auto"/>
          <w:sz w:val="24"/>
          <w:szCs w:val="28"/>
        </w:rPr>
      </w:pPr>
    </w:p>
    <w:p>
      <w:pPr>
        <w:spacing w:line="276" w:lineRule="auto"/>
        <w:rPr>
          <w:rFonts w:hint="eastAsia" w:ascii="宋体" w:hAnsi="宋体"/>
          <w:color w:val="auto"/>
          <w:sz w:val="24"/>
          <w:szCs w:val="28"/>
          <w:u w:val="single"/>
        </w:rPr>
      </w:pPr>
      <w:r>
        <w:rPr>
          <w:rFonts w:hint="eastAsia" w:ascii="宋体" w:hAnsi="宋体"/>
          <w:color w:val="auto"/>
          <w:sz w:val="24"/>
          <w:szCs w:val="28"/>
        </w:rPr>
        <w:t>项目名称：</w:t>
      </w:r>
      <w:r>
        <w:rPr>
          <w:rFonts w:hint="eastAsia" w:ascii="宋体" w:hAnsi="宋体"/>
          <w:color w:val="auto"/>
          <w:sz w:val="24"/>
          <w:szCs w:val="28"/>
          <w:u w:val="single"/>
        </w:rPr>
        <w:t xml:space="preserve">                                             </w:t>
      </w:r>
    </w:p>
    <w:p>
      <w:pPr>
        <w:spacing w:line="276" w:lineRule="auto"/>
        <w:rPr>
          <w:rFonts w:hint="eastAsia" w:ascii="宋体" w:hAnsi="宋体"/>
          <w:color w:val="auto"/>
          <w:sz w:val="24"/>
          <w:szCs w:val="28"/>
        </w:rPr>
      </w:pPr>
    </w:p>
    <w:p>
      <w:pPr>
        <w:tabs>
          <w:tab w:val="left" w:pos="6300"/>
        </w:tabs>
        <w:snapToGrid w:val="0"/>
        <w:spacing w:line="276" w:lineRule="auto"/>
        <w:rPr>
          <w:rFonts w:hint="eastAsia" w:ascii="宋体" w:hAnsi="宋体"/>
          <w:color w:val="auto"/>
          <w:sz w:val="24"/>
          <w:szCs w:val="28"/>
        </w:rPr>
      </w:pPr>
      <w:r>
        <w:rPr>
          <w:rFonts w:hint="eastAsia" w:ascii="宋体" w:hAnsi="宋体"/>
          <w:color w:val="auto"/>
          <w:sz w:val="24"/>
          <w:szCs w:val="28"/>
        </w:rPr>
        <w:t>致：</w:t>
      </w:r>
      <w:r>
        <w:rPr>
          <w:rFonts w:hint="eastAsia" w:ascii="宋体" w:hAnsi="宋体"/>
          <w:color w:val="auto"/>
          <w:sz w:val="24"/>
          <w:szCs w:val="28"/>
          <w:u w:val="single"/>
        </w:rPr>
        <w:t xml:space="preserve">                    </w:t>
      </w:r>
      <w:r>
        <w:rPr>
          <w:rFonts w:hint="eastAsia" w:ascii="宋体" w:hAnsi="宋体"/>
          <w:color w:val="auto"/>
          <w:sz w:val="24"/>
          <w:szCs w:val="28"/>
        </w:rPr>
        <w:t>（采购人名称）：</w:t>
      </w:r>
    </w:p>
    <w:p>
      <w:pPr>
        <w:snapToGrid w:val="0"/>
        <w:spacing w:before="120" w:beforeLines="50" w:line="276" w:lineRule="auto"/>
        <w:ind w:firstLine="480" w:firstLineChars="200"/>
        <w:rPr>
          <w:rFonts w:hint="eastAsia" w:ascii="宋体" w:hAnsi="宋体"/>
          <w:color w:val="auto"/>
          <w:sz w:val="24"/>
          <w:szCs w:val="28"/>
        </w:rPr>
      </w:pPr>
      <w:r>
        <w:rPr>
          <w:rFonts w:hint="eastAsia" w:ascii="宋体" w:hAnsi="宋体"/>
          <w:color w:val="auto"/>
          <w:sz w:val="24"/>
          <w:szCs w:val="28"/>
          <w:u w:val="single"/>
        </w:rPr>
        <w:t xml:space="preserve">                        </w:t>
      </w:r>
      <w:r>
        <w:rPr>
          <w:rFonts w:hint="eastAsia" w:ascii="宋体" w:hAnsi="宋体"/>
          <w:color w:val="auto"/>
          <w:sz w:val="24"/>
          <w:szCs w:val="28"/>
        </w:rPr>
        <w:t>（供应商名称）系中华人民共和国合法企业，注册地址：</w:t>
      </w:r>
      <w:r>
        <w:rPr>
          <w:rFonts w:hint="eastAsia" w:ascii="宋体" w:hAnsi="宋体"/>
          <w:color w:val="auto"/>
          <w:sz w:val="24"/>
          <w:szCs w:val="28"/>
          <w:u w:val="single"/>
        </w:rPr>
        <w:t xml:space="preserve">                               </w:t>
      </w:r>
      <w:r>
        <w:rPr>
          <w:rFonts w:hint="eastAsia" w:ascii="宋体" w:hAnsi="宋体"/>
          <w:color w:val="auto"/>
          <w:sz w:val="24"/>
          <w:szCs w:val="28"/>
        </w:rPr>
        <w:t>。我方就参加本次参与磋商有关事项郑重声明如下：</w:t>
      </w:r>
    </w:p>
    <w:p>
      <w:pPr>
        <w:tabs>
          <w:tab w:val="left" w:pos="6300"/>
        </w:tabs>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一、我方完全理解并接受该项目磋商文件所有要求。</w:t>
      </w:r>
    </w:p>
    <w:p>
      <w:pPr>
        <w:tabs>
          <w:tab w:val="left" w:pos="6300"/>
        </w:tabs>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二、我方提交的所有响应文件、资料都是准确和真实的，如有虚假或隐瞒，我方愿意承担一切法律责任。</w:t>
      </w:r>
    </w:p>
    <w:p>
      <w:pPr>
        <w:tabs>
          <w:tab w:val="left" w:pos="6300"/>
        </w:tabs>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三、我方承诺按照磋商文件要求，提供项目的技术服务。</w:t>
      </w:r>
    </w:p>
    <w:p>
      <w:pPr>
        <w:tabs>
          <w:tab w:val="left" w:pos="6300"/>
        </w:tabs>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四、我方按磋商文件要求提交的响应文件为：响应文件正本1份，副本  份。</w:t>
      </w:r>
    </w:p>
    <w:p>
      <w:pPr>
        <w:tabs>
          <w:tab w:val="left" w:pos="6300"/>
        </w:tabs>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五、我方承诺：本次提交响应文件有效期为90天。</w:t>
      </w:r>
    </w:p>
    <w:p>
      <w:pPr>
        <w:tabs>
          <w:tab w:val="left" w:pos="6300"/>
        </w:tabs>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六、我方最后报价为闭口价。即在响应文件有效期和合同有效期内，该报价固定不变。</w:t>
      </w:r>
    </w:p>
    <w:p>
      <w:pPr>
        <w:tabs>
          <w:tab w:val="left" w:pos="6300"/>
        </w:tabs>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七、如果我方中标，我方将履行磋商文件中规定的各项要求以及我方响应文件的各项承诺，按《政府采购法》、《合同法》及合同约定条款承担我方责任。</w:t>
      </w:r>
    </w:p>
    <w:p>
      <w:pPr>
        <w:tabs>
          <w:tab w:val="left" w:pos="6300"/>
        </w:tabs>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八、我方未</w:t>
      </w:r>
      <w:r>
        <w:rPr>
          <w:rFonts w:hint="eastAsia" w:ascii="宋体" w:hAnsi="宋体"/>
          <w:color w:val="auto"/>
          <w:sz w:val="24"/>
          <w:szCs w:val="24"/>
        </w:rPr>
        <w:t>为采购项目提供整体设计、规范编制或者项目管理、监理、检测等服务。</w:t>
      </w:r>
    </w:p>
    <w:p>
      <w:pPr>
        <w:tabs>
          <w:tab w:val="left" w:pos="6300"/>
        </w:tabs>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九、我方理解，最低报价不是中标的唯一条件。</w:t>
      </w:r>
    </w:p>
    <w:p>
      <w:pPr>
        <w:tabs>
          <w:tab w:val="left" w:pos="6300"/>
        </w:tabs>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十、我方同意按有关规定及磋商文件要求，缴纳足额投标保证金。</w:t>
      </w:r>
    </w:p>
    <w:p>
      <w:pPr>
        <w:tabs>
          <w:tab w:val="left" w:pos="6300"/>
        </w:tabs>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十一、我方同意按磋商文件中标公示内容要求进行公示，自愿接受监督。</w:t>
      </w:r>
    </w:p>
    <w:p>
      <w:pPr>
        <w:tabs>
          <w:tab w:val="left" w:pos="6300"/>
        </w:tabs>
        <w:snapToGrid w:val="0"/>
        <w:spacing w:line="276" w:lineRule="auto"/>
        <w:ind w:firstLine="480" w:firstLineChars="200"/>
        <w:rPr>
          <w:rFonts w:hint="eastAsia" w:ascii="宋体" w:hAnsi="宋体"/>
          <w:color w:val="auto"/>
          <w:sz w:val="24"/>
          <w:szCs w:val="28"/>
        </w:rPr>
      </w:pPr>
      <w:r>
        <w:rPr>
          <w:rFonts w:hint="eastAsia" w:ascii="宋体" w:hAnsi="宋体"/>
          <w:color w:val="auto"/>
          <w:sz w:val="24"/>
          <w:szCs w:val="28"/>
        </w:rPr>
        <w:t>十二、我方保证不围标、不串标、不卖标、不转包、不违法分包、不接受挂靠，不允许他人以自己名义投标。</w:t>
      </w:r>
    </w:p>
    <w:p>
      <w:pPr>
        <w:tabs>
          <w:tab w:val="left" w:pos="6300"/>
        </w:tabs>
        <w:snapToGrid w:val="0"/>
        <w:spacing w:line="276" w:lineRule="auto"/>
        <w:ind w:firstLine="5460" w:firstLineChars="2275"/>
        <w:rPr>
          <w:rFonts w:hint="eastAsia" w:ascii="宋体" w:hAnsi="宋体"/>
          <w:color w:val="auto"/>
          <w:sz w:val="24"/>
          <w:szCs w:val="28"/>
        </w:rPr>
      </w:pPr>
      <w:r>
        <w:rPr>
          <w:rFonts w:hint="eastAsia" w:ascii="宋体" w:hAnsi="宋体"/>
          <w:color w:val="auto"/>
          <w:sz w:val="24"/>
          <w:szCs w:val="28"/>
        </w:rPr>
        <w:t>（供应商公章）</w:t>
      </w:r>
    </w:p>
    <w:p>
      <w:pPr>
        <w:tabs>
          <w:tab w:val="left" w:pos="6300"/>
        </w:tabs>
        <w:snapToGrid w:val="0"/>
        <w:spacing w:line="276" w:lineRule="auto"/>
        <w:ind w:firstLine="570"/>
        <w:rPr>
          <w:rFonts w:hint="eastAsia" w:ascii="宋体" w:hAnsi="宋体"/>
          <w:color w:val="auto"/>
          <w:sz w:val="24"/>
          <w:szCs w:val="28"/>
        </w:rPr>
      </w:pPr>
    </w:p>
    <w:p>
      <w:pPr>
        <w:tabs>
          <w:tab w:val="left" w:pos="6300"/>
        </w:tabs>
        <w:snapToGrid w:val="0"/>
        <w:spacing w:line="276" w:lineRule="auto"/>
        <w:ind w:firstLine="5760" w:firstLineChars="2400"/>
        <w:rPr>
          <w:rFonts w:hint="eastAsia" w:ascii="宋体" w:hAnsi="宋体"/>
          <w:color w:val="auto"/>
          <w:szCs w:val="28"/>
        </w:rPr>
      </w:pPr>
      <w:r>
        <w:rPr>
          <w:rFonts w:hint="eastAsia" w:ascii="宋体" w:hAnsi="宋体"/>
          <w:color w:val="auto"/>
          <w:sz w:val="24"/>
          <w:szCs w:val="28"/>
        </w:rPr>
        <w:t>年    月   日</w:t>
      </w:r>
    </w:p>
    <w:p>
      <w:pPr>
        <w:widowControl/>
        <w:spacing w:line="276" w:lineRule="auto"/>
        <w:ind w:firstLine="560" w:firstLineChars="200"/>
        <w:jc w:val="left"/>
        <w:rPr>
          <w:rFonts w:hint="eastAsia" w:ascii="宋体" w:hAnsi="宋体"/>
          <w:color w:val="auto"/>
        </w:rPr>
      </w:pPr>
    </w:p>
    <w:p>
      <w:pPr>
        <w:widowControl/>
        <w:spacing w:line="276" w:lineRule="auto"/>
        <w:ind w:firstLine="560" w:firstLineChars="200"/>
        <w:jc w:val="left"/>
        <w:rPr>
          <w:rFonts w:hint="eastAsia" w:ascii="宋体" w:hAnsi="宋体"/>
          <w:color w:val="auto"/>
        </w:rPr>
      </w:pPr>
    </w:p>
    <w:p>
      <w:pPr>
        <w:widowControl/>
        <w:spacing w:line="276" w:lineRule="auto"/>
        <w:ind w:firstLine="560" w:firstLineChars="200"/>
        <w:jc w:val="left"/>
        <w:rPr>
          <w:rFonts w:hint="eastAsia" w:ascii="宋体" w:hAnsi="宋体"/>
          <w:color w:val="auto"/>
        </w:rPr>
      </w:pPr>
    </w:p>
    <w:p>
      <w:pPr>
        <w:widowControl/>
        <w:spacing w:line="276" w:lineRule="auto"/>
        <w:ind w:firstLine="560" w:firstLineChars="200"/>
        <w:jc w:val="left"/>
        <w:rPr>
          <w:rFonts w:hint="eastAsia" w:ascii="宋体" w:hAnsi="宋体"/>
          <w:color w:val="auto"/>
        </w:rPr>
      </w:pPr>
      <w:r>
        <w:rPr>
          <w:rFonts w:hint="eastAsia" w:ascii="宋体" w:hAnsi="宋体"/>
          <w:color w:val="auto"/>
        </w:rPr>
        <w:br w:type="page"/>
      </w:r>
      <w:r>
        <w:rPr>
          <w:rFonts w:hint="eastAsia" w:ascii="宋体" w:hAnsi="宋体"/>
          <w:color w:val="auto"/>
        </w:rPr>
        <w:t>（四）法定代表人身份证明书（格式）</w:t>
      </w: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rPr>
        <w:t>项目名称：</w:t>
      </w:r>
      <w:r>
        <w:rPr>
          <w:rFonts w:hint="eastAsia" w:ascii="宋体" w:hAnsi="宋体"/>
          <w:color w:val="auto"/>
          <w:sz w:val="24"/>
          <w:u w:val="single"/>
        </w:rPr>
        <w:t xml:space="preserve">                                                </w:t>
      </w: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rPr>
        <w:t>（采购人名称）：</w:t>
      </w: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（法定代表人姓名）在</w:t>
      </w:r>
      <w:r>
        <w:rPr>
          <w:rFonts w:hint="eastAsia" w:ascii="宋体" w:hAnsi="宋体"/>
          <w:color w:val="auto"/>
          <w:sz w:val="24"/>
          <w:u w:val="single"/>
        </w:rPr>
        <w:t xml:space="preserve">                       </w:t>
      </w:r>
      <w:r>
        <w:rPr>
          <w:rFonts w:hint="eastAsia" w:ascii="宋体" w:hAnsi="宋体"/>
          <w:color w:val="auto"/>
          <w:sz w:val="24"/>
        </w:rPr>
        <w:t>（供应商名称）任</w:t>
      </w:r>
      <w:r>
        <w:rPr>
          <w:rFonts w:hint="eastAsia" w:ascii="宋体" w:hAnsi="宋体"/>
          <w:color w:val="auto"/>
          <w:sz w:val="24"/>
          <w:u w:val="single"/>
        </w:rPr>
        <w:t xml:space="preserve">    </w:t>
      </w:r>
      <w:r>
        <w:rPr>
          <w:rFonts w:hint="eastAsia" w:ascii="宋体" w:hAnsi="宋体"/>
          <w:color w:val="auto"/>
          <w:sz w:val="24"/>
        </w:rPr>
        <w:t>（职务名称）职务，是（供应商名称）</w:t>
      </w:r>
      <w:r>
        <w:rPr>
          <w:rFonts w:hint="eastAsia" w:ascii="宋体" w:hAnsi="宋体"/>
          <w:color w:val="auto"/>
          <w:sz w:val="24"/>
          <w:u w:val="single"/>
        </w:rPr>
        <w:t xml:space="preserve">              </w:t>
      </w:r>
      <w:r>
        <w:rPr>
          <w:rFonts w:hint="eastAsia" w:ascii="宋体" w:hAnsi="宋体"/>
          <w:color w:val="auto"/>
          <w:sz w:val="24"/>
        </w:rPr>
        <w:t>的法定代表人。</w:t>
      </w: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rPr>
        <w:t>特此证明。</w:t>
      </w: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rPr>
        <w:t xml:space="preserve">                                             （供应商公章）</w:t>
      </w: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rPr>
        <w:t xml:space="preserve">                                             年   月   日</w:t>
      </w: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rPr>
        <w:t>（附：法定代表人身份证正反面复印件）</w:t>
      </w: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rPr>
          <w:rFonts w:hint="eastAsia" w:ascii="宋体" w:hAnsi="宋体"/>
          <w:color w:val="auto"/>
        </w:rPr>
      </w:pPr>
    </w:p>
    <w:p>
      <w:pPr>
        <w:tabs>
          <w:tab w:val="left" w:pos="6300"/>
        </w:tabs>
        <w:snapToGrid w:val="0"/>
        <w:spacing w:line="276" w:lineRule="auto"/>
        <w:rPr>
          <w:rFonts w:hint="eastAsia" w:ascii="宋体" w:hAnsi="宋体"/>
          <w:color w:val="auto"/>
        </w:rPr>
      </w:pPr>
    </w:p>
    <w:p>
      <w:pPr>
        <w:tabs>
          <w:tab w:val="left" w:pos="6300"/>
        </w:tabs>
        <w:snapToGrid w:val="0"/>
        <w:spacing w:line="276" w:lineRule="auto"/>
        <w:rPr>
          <w:rFonts w:hint="eastAsia" w:ascii="宋体" w:hAnsi="宋体"/>
          <w:color w:val="auto"/>
        </w:rPr>
      </w:pPr>
    </w:p>
    <w:p>
      <w:pPr>
        <w:tabs>
          <w:tab w:val="left" w:pos="6300"/>
        </w:tabs>
        <w:snapToGrid w:val="0"/>
        <w:spacing w:line="276" w:lineRule="auto"/>
        <w:rPr>
          <w:rFonts w:hint="eastAsia" w:ascii="宋体" w:hAnsi="宋体"/>
          <w:color w:val="auto"/>
        </w:rPr>
      </w:pPr>
    </w:p>
    <w:p>
      <w:pPr>
        <w:tabs>
          <w:tab w:val="left" w:pos="6300"/>
        </w:tabs>
        <w:snapToGrid w:val="0"/>
        <w:spacing w:line="276" w:lineRule="auto"/>
        <w:rPr>
          <w:rFonts w:hint="eastAsia" w:ascii="宋体" w:hAnsi="宋体"/>
          <w:color w:val="auto"/>
        </w:rPr>
      </w:pPr>
    </w:p>
    <w:p>
      <w:pPr>
        <w:tabs>
          <w:tab w:val="left" w:pos="6300"/>
        </w:tabs>
        <w:snapToGrid w:val="0"/>
        <w:spacing w:line="276" w:lineRule="auto"/>
        <w:rPr>
          <w:rFonts w:hint="eastAsia" w:ascii="宋体" w:hAnsi="宋体"/>
          <w:color w:val="auto"/>
        </w:rPr>
      </w:pPr>
      <w:r>
        <w:rPr>
          <w:rFonts w:hint="eastAsia" w:ascii="宋体" w:hAnsi="宋体"/>
          <w:color w:val="auto"/>
        </w:rPr>
        <w:br w:type="page"/>
      </w:r>
      <w:r>
        <w:rPr>
          <w:rFonts w:hint="eastAsia" w:ascii="宋体" w:hAnsi="宋体"/>
          <w:color w:val="auto"/>
        </w:rPr>
        <w:t>（五）法定代表人授权委托书（格式）</w:t>
      </w: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rPr>
        <w:t xml:space="preserve">    </w:t>
      </w:r>
    </w:p>
    <w:p>
      <w:pPr>
        <w:tabs>
          <w:tab w:val="left" w:pos="6300"/>
        </w:tabs>
        <w:snapToGrid w:val="0"/>
        <w:spacing w:line="276" w:lineRule="auto"/>
        <w:ind w:firstLine="480" w:firstLineChars="200"/>
        <w:rPr>
          <w:rFonts w:hint="eastAsia" w:ascii="宋体" w:hAnsi="宋体"/>
          <w:color w:val="auto"/>
          <w:sz w:val="24"/>
        </w:rPr>
      </w:pPr>
      <w:r>
        <w:rPr>
          <w:rFonts w:hint="eastAsia" w:ascii="宋体" w:hAnsi="宋体"/>
          <w:color w:val="auto"/>
          <w:sz w:val="24"/>
          <w:szCs w:val="28"/>
        </w:rPr>
        <w:t>项目名称</w:t>
      </w:r>
      <w:r>
        <w:rPr>
          <w:rFonts w:hint="eastAsia" w:ascii="宋体" w:hAnsi="宋体"/>
          <w:color w:val="auto"/>
          <w:sz w:val="24"/>
        </w:rPr>
        <w:t>：</w:t>
      </w:r>
      <w:r>
        <w:rPr>
          <w:rFonts w:hint="eastAsia" w:ascii="宋体" w:hAnsi="宋体"/>
          <w:color w:val="auto"/>
          <w:sz w:val="24"/>
          <w:u w:val="single"/>
        </w:rPr>
        <w:t xml:space="preserve">                                                </w:t>
      </w: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480" w:firstLineChars="200"/>
        <w:rPr>
          <w:rFonts w:hint="eastAsia"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hint="eastAsia" w:ascii="宋体" w:hAnsi="宋体"/>
          <w:color w:val="auto"/>
          <w:sz w:val="24"/>
        </w:rPr>
        <w:t>（采购人名称）：</w:t>
      </w:r>
    </w:p>
    <w:p>
      <w:pPr>
        <w:tabs>
          <w:tab w:val="left" w:pos="6300"/>
        </w:tabs>
        <w:snapToGrid w:val="0"/>
        <w:spacing w:line="276" w:lineRule="auto"/>
        <w:ind w:firstLine="480" w:firstLineChars="200"/>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（供应商法定代表人名称）是</w:t>
      </w:r>
      <w:r>
        <w:rPr>
          <w:rFonts w:hint="eastAsia" w:ascii="宋体" w:hAnsi="宋体"/>
          <w:color w:val="auto"/>
          <w:sz w:val="24"/>
          <w:u w:val="single"/>
        </w:rPr>
        <w:t xml:space="preserve">                    </w:t>
      </w:r>
      <w:r>
        <w:rPr>
          <w:rFonts w:hint="eastAsia" w:ascii="宋体" w:hAnsi="宋体"/>
          <w:color w:val="auto"/>
          <w:sz w:val="24"/>
        </w:rPr>
        <w:t>（供应商名称）的法定代表人，特授权</w:t>
      </w:r>
      <w:r>
        <w:rPr>
          <w:rFonts w:hint="eastAsia" w:ascii="宋体" w:hAnsi="宋体"/>
          <w:color w:val="auto"/>
          <w:sz w:val="24"/>
          <w:u w:val="single"/>
        </w:rPr>
        <w:t xml:space="preserve">          </w:t>
      </w:r>
      <w:r>
        <w:rPr>
          <w:rFonts w:hint="eastAsia" w:ascii="宋体" w:hAnsi="宋体"/>
          <w:color w:val="auto"/>
          <w:sz w:val="24"/>
        </w:rPr>
        <w:t>（被授权人姓名及身份证代码）代表我单位全权办理上述项目的磋商、签约等具体工作，并签署全部有关文件、协议及合同。</w:t>
      </w:r>
    </w:p>
    <w:p>
      <w:pPr>
        <w:tabs>
          <w:tab w:val="left" w:pos="6300"/>
        </w:tabs>
        <w:snapToGrid w:val="0"/>
        <w:spacing w:line="276" w:lineRule="auto"/>
        <w:ind w:firstLine="480" w:firstLineChars="200"/>
        <w:rPr>
          <w:rFonts w:hint="eastAsia" w:ascii="宋体" w:hAnsi="宋体"/>
          <w:color w:val="auto"/>
          <w:sz w:val="24"/>
        </w:rPr>
      </w:pPr>
      <w:r>
        <w:rPr>
          <w:rFonts w:hint="eastAsia" w:ascii="宋体" w:hAnsi="宋体"/>
          <w:color w:val="auto"/>
          <w:sz w:val="24"/>
        </w:rPr>
        <w:t>我单位对被授权人的签字负全部责任。</w:t>
      </w:r>
    </w:p>
    <w:p>
      <w:pPr>
        <w:tabs>
          <w:tab w:val="left" w:pos="6300"/>
        </w:tabs>
        <w:snapToGrid w:val="0"/>
        <w:spacing w:line="276" w:lineRule="auto"/>
        <w:ind w:firstLine="480" w:firstLineChars="200"/>
        <w:rPr>
          <w:rFonts w:hint="eastAsia" w:ascii="宋体" w:hAnsi="宋体"/>
          <w:color w:val="auto"/>
          <w:sz w:val="24"/>
        </w:rPr>
      </w:pPr>
      <w:r>
        <w:rPr>
          <w:rFonts w:hint="eastAsia" w:ascii="宋体" w:hAnsi="宋体"/>
          <w:color w:val="auto"/>
          <w:sz w:val="24"/>
        </w:rPr>
        <w:t>在撤消授权的书面通知以前，本授权书一直有效。被授权人在授权书有效期内签署的所有文件不因授权的撤消而失效。</w:t>
      </w: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rPr>
        <w:t>被授权人：                                 供应商法定代表人：</w:t>
      </w:r>
    </w:p>
    <w:p>
      <w:pPr>
        <w:tabs>
          <w:tab w:val="left" w:pos="6300"/>
        </w:tabs>
        <w:snapToGrid w:val="0"/>
        <w:spacing w:line="276" w:lineRule="auto"/>
        <w:ind w:firstLine="570"/>
        <w:rPr>
          <w:rFonts w:hint="eastAsia" w:ascii="宋体" w:hAnsi="宋体"/>
          <w:color w:val="auto"/>
          <w:sz w:val="24"/>
          <w:szCs w:val="28"/>
        </w:rPr>
      </w:pPr>
      <w:r>
        <w:rPr>
          <w:rFonts w:hint="eastAsia" w:ascii="宋体" w:hAnsi="宋体"/>
          <w:color w:val="auto"/>
          <w:sz w:val="24"/>
          <w:szCs w:val="28"/>
        </w:rPr>
        <w:t>（签字或盖章）                                （签字或盖章）</w:t>
      </w:r>
    </w:p>
    <w:p>
      <w:pPr>
        <w:tabs>
          <w:tab w:val="left" w:pos="6300"/>
        </w:tabs>
        <w:snapToGrid w:val="0"/>
        <w:spacing w:line="276" w:lineRule="auto"/>
        <w:ind w:firstLine="570"/>
        <w:rPr>
          <w:rFonts w:hint="eastAsia" w:ascii="宋体" w:hAnsi="宋体"/>
          <w:color w:val="auto"/>
          <w:sz w:val="24"/>
          <w:szCs w:val="28"/>
        </w:rPr>
      </w:pP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rPr>
        <w:t>（附：被授权人身份证正反面复印件）</w:t>
      </w: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rPr>
        <w:t xml:space="preserve">                                          </w:t>
      </w: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right="480" w:firstLine="570"/>
        <w:jc w:val="right"/>
        <w:rPr>
          <w:rFonts w:hint="eastAsia" w:ascii="宋体" w:hAnsi="宋体"/>
          <w:color w:val="auto"/>
          <w:sz w:val="24"/>
        </w:rPr>
      </w:pPr>
      <w:r>
        <w:rPr>
          <w:rFonts w:hint="eastAsia" w:ascii="宋体" w:hAnsi="宋体"/>
          <w:color w:val="auto"/>
          <w:sz w:val="24"/>
        </w:rPr>
        <w:t>（供应商公章）</w:t>
      </w:r>
    </w:p>
    <w:p>
      <w:pPr>
        <w:tabs>
          <w:tab w:val="left" w:pos="6300"/>
        </w:tabs>
        <w:snapToGrid w:val="0"/>
        <w:spacing w:line="276" w:lineRule="auto"/>
        <w:ind w:right="480" w:firstLine="570"/>
        <w:jc w:val="right"/>
        <w:rPr>
          <w:rFonts w:hint="eastAsia" w:ascii="宋体" w:hAnsi="宋体"/>
          <w:color w:val="auto"/>
          <w:sz w:val="24"/>
        </w:rPr>
      </w:pPr>
      <w:r>
        <w:rPr>
          <w:rFonts w:hint="eastAsia" w:ascii="宋体" w:hAnsi="宋体"/>
          <w:color w:val="auto"/>
          <w:sz w:val="24"/>
        </w:rPr>
        <w:t>年   月   日</w:t>
      </w:r>
    </w:p>
    <w:p>
      <w:pPr>
        <w:tabs>
          <w:tab w:val="left" w:pos="6300"/>
        </w:tabs>
        <w:snapToGrid w:val="0"/>
        <w:spacing w:line="276" w:lineRule="auto"/>
        <w:rPr>
          <w:rFonts w:hint="eastAsia" w:ascii="宋体" w:hAnsi="宋体"/>
          <w:color w:val="auto"/>
        </w:rPr>
      </w:pPr>
    </w:p>
    <w:p>
      <w:pPr>
        <w:tabs>
          <w:tab w:val="left" w:pos="6300"/>
        </w:tabs>
        <w:snapToGrid w:val="0"/>
        <w:spacing w:line="276" w:lineRule="auto"/>
        <w:rPr>
          <w:rFonts w:hint="eastAsia" w:ascii="宋体" w:hAnsi="宋体"/>
          <w:color w:val="auto"/>
        </w:rPr>
      </w:pPr>
    </w:p>
    <w:p>
      <w:pPr>
        <w:tabs>
          <w:tab w:val="left" w:pos="6300"/>
        </w:tabs>
        <w:snapToGrid w:val="0"/>
        <w:spacing w:line="276" w:lineRule="auto"/>
        <w:rPr>
          <w:rFonts w:hint="eastAsia" w:ascii="宋体" w:hAnsi="宋体"/>
          <w:color w:val="auto"/>
        </w:rPr>
      </w:pPr>
    </w:p>
    <w:p>
      <w:pPr>
        <w:tabs>
          <w:tab w:val="left" w:pos="6300"/>
        </w:tabs>
        <w:snapToGrid w:val="0"/>
        <w:spacing w:line="276" w:lineRule="auto"/>
        <w:rPr>
          <w:rFonts w:hint="eastAsia" w:ascii="宋体" w:hAnsi="宋体"/>
          <w:color w:val="auto"/>
          <w:sz w:val="24"/>
        </w:rPr>
      </w:pPr>
      <w:r>
        <w:rPr>
          <w:rFonts w:hint="eastAsia" w:ascii="宋体" w:hAnsi="宋体"/>
          <w:color w:val="auto"/>
        </w:rPr>
        <w:br w:type="column"/>
      </w:r>
      <w:r>
        <w:rPr>
          <w:rFonts w:hint="eastAsia" w:ascii="宋体" w:hAnsi="宋体"/>
          <w:color w:val="auto"/>
        </w:rPr>
        <w:t>（六）书面声明</w:t>
      </w: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480" w:firstLineChars="200"/>
        <w:rPr>
          <w:rFonts w:hint="eastAsia" w:ascii="宋体" w:hAnsi="宋体"/>
          <w:color w:val="auto"/>
          <w:sz w:val="24"/>
        </w:rPr>
      </w:pPr>
      <w:r>
        <w:rPr>
          <w:rFonts w:hint="eastAsia" w:ascii="宋体" w:hAnsi="宋体"/>
          <w:color w:val="auto"/>
          <w:sz w:val="24"/>
          <w:szCs w:val="28"/>
        </w:rPr>
        <w:t>项目名称</w:t>
      </w:r>
      <w:r>
        <w:rPr>
          <w:rFonts w:hint="eastAsia" w:ascii="宋体" w:hAnsi="宋体"/>
          <w:color w:val="auto"/>
          <w:sz w:val="24"/>
        </w:rPr>
        <w:t>：</w:t>
      </w:r>
      <w:r>
        <w:rPr>
          <w:rFonts w:hint="eastAsia" w:ascii="宋体" w:hAnsi="宋体"/>
          <w:color w:val="auto"/>
          <w:sz w:val="24"/>
          <w:u w:val="single"/>
        </w:rPr>
        <w:t xml:space="preserve">                                                </w:t>
      </w:r>
    </w:p>
    <w:p>
      <w:pPr>
        <w:tabs>
          <w:tab w:val="left" w:pos="6300"/>
        </w:tabs>
        <w:snapToGrid w:val="0"/>
        <w:spacing w:line="276" w:lineRule="auto"/>
        <w:ind w:firstLine="570"/>
        <w:rPr>
          <w:rFonts w:hint="eastAsia" w:ascii="宋体" w:hAnsi="宋体"/>
          <w:color w:val="auto"/>
          <w:sz w:val="24"/>
        </w:rPr>
      </w:pPr>
    </w:p>
    <w:p>
      <w:pPr>
        <w:tabs>
          <w:tab w:val="left" w:pos="6300"/>
        </w:tabs>
        <w:snapToGrid w:val="0"/>
        <w:spacing w:line="276" w:lineRule="auto"/>
        <w:ind w:firstLine="420" w:firstLineChars="200"/>
        <w:rPr>
          <w:rFonts w:hint="eastAsia" w:ascii="宋体" w:hAnsi="宋体"/>
          <w:color w:val="auto"/>
          <w:sz w:val="21"/>
          <w:szCs w:val="21"/>
        </w:rPr>
      </w:pPr>
      <w:r>
        <w:rPr>
          <w:rFonts w:hint="eastAsia" w:ascii="宋体" w:hAnsi="宋体"/>
          <w:color w:val="auto"/>
          <w:sz w:val="21"/>
          <w:szCs w:val="21"/>
        </w:rPr>
        <w:t>致：采购人</w:t>
      </w:r>
    </w:p>
    <w:p>
      <w:pPr>
        <w:tabs>
          <w:tab w:val="left" w:pos="6300"/>
        </w:tabs>
        <w:snapToGrid w:val="0"/>
        <w:spacing w:line="276" w:lineRule="auto"/>
        <w:ind w:firstLine="420" w:firstLineChars="200"/>
        <w:rPr>
          <w:rFonts w:hint="eastAsia"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投标人名称）郑重声明，我公司具有良好的商业信誉，具有履行合同所必需的设备和专业技术能力，有依法缴纳税收和社会保障资金的良好记录，参加本项目采购活动前三年内无重大违法活动记录，符合《中华人民共和国政府采购法》第二十二条规定条件，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pPr>
        <w:tabs>
          <w:tab w:val="left" w:pos="6300"/>
        </w:tabs>
        <w:snapToGrid w:val="0"/>
        <w:spacing w:line="276" w:lineRule="auto"/>
        <w:ind w:firstLine="420" w:firstLineChars="200"/>
        <w:rPr>
          <w:rFonts w:hint="eastAsia" w:ascii="宋体" w:hAnsi="宋体"/>
          <w:color w:val="auto"/>
          <w:sz w:val="21"/>
          <w:szCs w:val="21"/>
        </w:rPr>
      </w:pPr>
    </w:p>
    <w:p>
      <w:pPr>
        <w:tabs>
          <w:tab w:val="left" w:pos="6300"/>
        </w:tabs>
        <w:snapToGrid w:val="0"/>
        <w:spacing w:line="276" w:lineRule="auto"/>
        <w:ind w:firstLine="420" w:firstLineChars="200"/>
        <w:rPr>
          <w:rFonts w:hint="eastAsia" w:ascii="宋体" w:hAnsi="宋体"/>
          <w:color w:val="auto"/>
          <w:sz w:val="21"/>
          <w:szCs w:val="21"/>
        </w:rPr>
      </w:pPr>
      <w:r>
        <w:rPr>
          <w:rFonts w:hint="eastAsia" w:ascii="宋体" w:hAnsi="宋体"/>
          <w:color w:val="auto"/>
          <w:sz w:val="21"/>
          <w:szCs w:val="21"/>
        </w:rPr>
        <w:t>特此声明。</w:t>
      </w:r>
    </w:p>
    <w:p>
      <w:pPr>
        <w:tabs>
          <w:tab w:val="left" w:pos="6300"/>
        </w:tabs>
        <w:snapToGrid w:val="0"/>
        <w:spacing w:line="276" w:lineRule="auto"/>
        <w:ind w:firstLine="570"/>
        <w:rPr>
          <w:rFonts w:hint="eastAsia" w:ascii="宋体" w:hAnsi="宋体"/>
          <w:color w:val="auto"/>
          <w:sz w:val="21"/>
          <w:szCs w:val="21"/>
        </w:rPr>
      </w:pPr>
    </w:p>
    <w:p>
      <w:pPr>
        <w:tabs>
          <w:tab w:val="left" w:pos="6300"/>
        </w:tabs>
        <w:snapToGrid w:val="0"/>
        <w:spacing w:line="276" w:lineRule="auto"/>
        <w:ind w:firstLine="570"/>
        <w:rPr>
          <w:rFonts w:hint="eastAsia" w:ascii="宋体" w:hAnsi="宋体"/>
          <w:color w:val="auto"/>
          <w:sz w:val="21"/>
          <w:szCs w:val="21"/>
        </w:rPr>
      </w:pPr>
    </w:p>
    <w:p>
      <w:pPr>
        <w:tabs>
          <w:tab w:val="left" w:pos="6300"/>
        </w:tabs>
        <w:snapToGrid w:val="0"/>
        <w:spacing w:line="276" w:lineRule="auto"/>
        <w:ind w:firstLine="570"/>
        <w:rPr>
          <w:rFonts w:hint="eastAsia" w:ascii="宋体" w:hAnsi="宋体"/>
          <w:color w:val="auto"/>
          <w:sz w:val="21"/>
          <w:szCs w:val="21"/>
        </w:rPr>
      </w:pPr>
    </w:p>
    <w:p>
      <w:pPr>
        <w:tabs>
          <w:tab w:val="left" w:pos="6300"/>
        </w:tabs>
        <w:snapToGrid w:val="0"/>
        <w:spacing w:line="276" w:lineRule="auto"/>
        <w:ind w:right="424" w:firstLine="570"/>
        <w:jc w:val="right"/>
        <w:rPr>
          <w:rFonts w:hint="eastAsia" w:ascii="宋体" w:hAnsi="宋体"/>
          <w:color w:val="auto"/>
          <w:sz w:val="21"/>
          <w:szCs w:val="21"/>
        </w:rPr>
      </w:pPr>
      <w:r>
        <w:rPr>
          <w:rFonts w:hint="eastAsia" w:ascii="宋体" w:hAnsi="宋体"/>
          <w:color w:val="auto"/>
          <w:sz w:val="21"/>
          <w:szCs w:val="21"/>
        </w:rPr>
        <w:t>（投标人公章）</w:t>
      </w:r>
    </w:p>
    <w:p>
      <w:pPr>
        <w:tabs>
          <w:tab w:val="left" w:pos="6300"/>
        </w:tabs>
        <w:snapToGrid w:val="0"/>
        <w:spacing w:line="276" w:lineRule="auto"/>
        <w:ind w:right="480" w:firstLine="570"/>
        <w:jc w:val="right"/>
        <w:rPr>
          <w:rFonts w:hint="eastAsia" w:ascii="宋体" w:hAnsi="宋体"/>
          <w:color w:val="auto"/>
          <w:sz w:val="21"/>
          <w:szCs w:val="21"/>
        </w:rPr>
      </w:pPr>
      <w:r>
        <w:rPr>
          <w:rFonts w:hint="eastAsia" w:ascii="宋体" w:hAnsi="宋体"/>
          <w:color w:val="auto"/>
          <w:sz w:val="21"/>
          <w:szCs w:val="21"/>
        </w:rPr>
        <w:t>年   月   日</w:t>
      </w:r>
    </w:p>
    <w:p>
      <w:pPr>
        <w:tabs>
          <w:tab w:val="left" w:pos="6300"/>
        </w:tabs>
        <w:snapToGrid w:val="0"/>
        <w:spacing w:line="276" w:lineRule="auto"/>
        <w:ind w:firstLine="560" w:firstLineChars="200"/>
        <w:rPr>
          <w:rFonts w:hint="eastAsia" w:ascii="宋体" w:hAnsi="宋体"/>
          <w:color w:val="auto"/>
        </w:rPr>
      </w:pPr>
    </w:p>
    <w:p>
      <w:pPr>
        <w:tabs>
          <w:tab w:val="left" w:pos="6300"/>
        </w:tabs>
        <w:snapToGrid w:val="0"/>
        <w:spacing w:line="276" w:lineRule="auto"/>
        <w:rPr>
          <w:rFonts w:hint="eastAsia" w:ascii="宋体" w:hAnsi="宋体"/>
          <w:color w:val="auto"/>
        </w:rPr>
      </w:pPr>
      <w:r>
        <w:rPr>
          <w:rFonts w:hint="eastAsia" w:ascii="宋体" w:hAnsi="宋体"/>
          <w:color w:val="auto"/>
        </w:rPr>
        <w:t xml:space="preserve">    （七）税务登记证（副本）复印件和社会保险缴纳证明材料</w:t>
      </w:r>
    </w:p>
    <w:p>
      <w:pPr>
        <w:tabs>
          <w:tab w:val="left" w:pos="6300"/>
        </w:tabs>
        <w:snapToGrid w:val="0"/>
        <w:spacing w:line="276" w:lineRule="auto"/>
        <w:ind w:firstLine="560" w:firstLineChars="200"/>
        <w:rPr>
          <w:rFonts w:hint="eastAsia" w:ascii="宋体" w:hAnsi="宋体"/>
          <w:color w:val="auto"/>
        </w:rPr>
      </w:pPr>
      <w:r>
        <w:rPr>
          <w:rFonts w:hint="eastAsia" w:ascii="宋体" w:hAnsi="宋体"/>
          <w:color w:val="auto"/>
        </w:rPr>
        <w:t>（八）特定资格条件证书或证明文件</w:t>
      </w:r>
    </w:p>
    <w:p>
      <w:pPr>
        <w:tabs>
          <w:tab w:val="left" w:pos="6300"/>
        </w:tabs>
        <w:snapToGrid w:val="0"/>
        <w:spacing w:line="276" w:lineRule="auto"/>
        <w:ind w:firstLine="560" w:firstLineChars="200"/>
        <w:rPr>
          <w:rFonts w:hint="eastAsia" w:ascii="宋体" w:hAnsi="宋体"/>
          <w:color w:val="auto"/>
          <w:sz w:val="24"/>
        </w:rPr>
      </w:pPr>
      <w:r>
        <w:rPr>
          <w:rFonts w:hint="eastAsia" w:ascii="宋体" w:hAnsi="宋体"/>
          <w:color w:val="auto"/>
        </w:rPr>
        <w:t>说明：供应商按“三证合一”登记制度办理营业执照的，组织机构代码证和税务登记证以供应商所提供的营业执照（副本）复印件为准。</w:t>
      </w:r>
    </w:p>
    <w:p>
      <w:pPr>
        <w:pStyle w:val="3"/>
        <w:pageBreakBefore/>
        <w:spacing w:line="276" w:lineRule="auto"/>
        <w:rPr>
          <w:rFonts w:hint="eastAsia"/>
          <w:b/>
          <w:color w:val="auto"/>
          <w:szCs w:val="28"/>
        </w:rPr>
      </w:pPr>
      <w:bookmarkStart w:id="63" w:name="_Toc441065696"/>
      <w:bookmarkStart w:id="64" w:name="_Toc3300"/>
      <w:bookmarkStart w:id="65" w:name="_Toc429584886"/>
      <w:r>
        <w:rPr>
          <w:rFonts w:hint="eastAsia"/>
          <w:b/>
          <w:color w:val="auto"/>
          <w:szCs w:val="28"/>
        </w:rPr>
        <w:t>三、服务响应文件</w:t>
      </w:r>
      <w:bookmarkEnd w:id="63"/>
      <w:bookmarkEnd w:id="64"/>
      <w:bookmarkEnd w:id="65"/>
    </w:p>
    <w:p>
      <w:pPr>
        <w:snapToGrid w:val="0"/>
        <w:spacing w:line="276" w:lineRule="auto"/>
        <w:ind w:left="241" w:leftChars="86"/>
        <w:rPr>
          <w:rFonts w:hint="eastAsia" w:ascii="宋体" w:hAnsi="宋体"/>
          <w:color w:val="auto"/>
          <w:sz w:val="24"/>
          <w:szCs w:val="24"/>
        </w:rPr>
      </w:pPr>
      <w:r>
        <w:rPr>
          <w:rFonts w:hint="eastAsia" w:ascii="宋体" w:hAnsi="宋体"/>
          <w:color w:val="auto"/>
          <w:szCs w:val="24"/>
        </w:rPr>
        <w:t>（一）服务具体方案</w:t>
      </w:r>
    </w:p>
    <w:p>
      <w:pPr>
        <w:widowControl/>
        <w:spacing w:line="276" w:lineRule="auto"/>
        <w:jc w:val="left"/>
        <w:rPr>
          <w:rFonts w:hint="eastAsia" w:ascii="宋体" w:hAnsi="宋体"/>
          <w:color w:val="auto"/>
        </w:rPr>
      </w:pPr>
      <w:r>
        <w:rPr>
          <w:rFonts w:hint="eastAsia" w:ascii="宋体" w:hAnsi="宋体"/>
          <w:color w:val="auto"/>
          <w:szCs w:val="24"/>
        </w:rPr>
        <w:t xml:space="preserve">  </w:t>
      </w:r>
      <w:r>
        <w:rPr>
          <w:rFonts w:hint="eastAsia" w:ascii="宋体" w:hAnsi="宋体"/>
          <w:color w:val="auto"/>
          <w:sz w:val="24"/>
        </w:rPr>
        <w:t>依据磋商文件第二篇的服务具体要求，采购人自行制定服务具体方案。</w:t>
      </w:r>
      <w:r>
        <w:rPr>
          <w:rFonts w:hint="eastAsia" w:ascii="宋体" w:hAnsi="宋体"/>
          <w:color w:val="auto"/>
          <w:szCs w:val="44"/>
        </w:rPr>
        <w:br w:type="page"/>
      </w:r>
      <w:r>
        <w:rPr>
          <w:rFonts w:hint="eastAsia" w:ascii="宋体" w:hAnsi="宋体"/>
          <w:color w:val="auto"/>
          <w:szCs w:val="28"/>
        </w:rPr>
        <w:t>（二）商务承诺</w:t>
      </w:r>
    </w:p>
    <w:p>
      <w:pPr>
        <w:spacing w:line="276" w:lineRule="auto"/>
        <w:rPr>
          <w:rFonts w:hint="eastAsia" w:ascii="宋体" w:hAnsi="宋体"/>
          <w:color w:val="auto"/>
        </w:rPr>
      </w:pPr>
      <w:r>
        <w:rPr>
          <w:rFonts w:hint="eastAsia" w:ascii="宋体" w:hAnsi="宋体"/>
          <w:color w:val="auto"/>
        </w:rPr>
        <w:t>2.1付款方式；</w:t>
      </w:r>
    </w:p>
    <w:p>
      <w:pPr>
        <w:spacing w:line="276" w:lineRule="auto"/>
        <w:rPr>
          <w:rFonts w:hint="eastAsia" w:ascii="宋体" w:hAnsi="宋体"/>
          <w:color w:val="auto"/>
        </w:rPr>
      </w:pPr>
      <w:r>
        <w:rPr>
          <w:rFonts w:hint="eastAsia" w:ascii="宋体" w:hAnsi="宋体"/>
          <w:color w:val="auto"/>
        </w:rPr>
        <w:t>2.2售后服务能力情况；</w:t>
      </w:r>
    </w:p>
    <w:p>
      <w:pPr>
        <w:spacing w:line="276" w:lineRule="auto"/>
        <w:rPr>
          <w:rFonts w:hint="eastAsia" w:ascii="宋体" w:hAnsi="宋体"/>
          <w:color w:val="auto"/>
        </w:rPr>
      </w:pPr>
      <w:r>
        <w:rPr>
          <w:rFonts w:hint="eastAsia" w:ascii="宋体" w:hAnsi="宋体"/>
          <w:color w:val="auto"/>
        </w:rPr>
        <w:t>2.3培训；</w:t>
      </w:r>
    </w:p>
    <w:p>
      <w:pPr>
        <w:spacing w:line="276" w:lineRule="auto"/>
        <w:rPr>
          <w:rFonts w:hint="eastAsia" w:ascii="宋体" w:hAnsi="宋体"/>
          <w:color w:val="auto"/>
        </w:rPr>
      </w:pPr>
      <w:r>
        <w:rPr>
          <w:rFonts w:hint="eastAsia" w:ascii="宋体" w:hAnsi="宋体"/>
          <w:color w:val="auto"/>
        </w:rPr>
        <w:t>2.4业绩。</w:t>
      </w:r>
    </w:p>
    <w:p>
      <w:pPr>
        <w:tabs>
          <w:tab w:val="left" w:pos="6300"/>
        </w:tabs>
        <w:snapToGrid w:val="0"/>
        <w:spacing w:line="276" w:lineRule="auto"/>
        <w:rPr>
          <w:rFonts w:hint="eastAsia" w:ascii="宋体" w:hAnsi="宋体"/>
          <w:color w:val="auto"/>
          <w:sz w:val="24"/>
          <w:szCs w:val="24"/>
        </w:rPr>
      </w:pPr>
    </w:p>
    <w:p>
      <w:pPr>
        <w:tabs>
          <w:tab w:val="left" w:pos="6300"/>
        </w:tabs>
        <w:snapToGrid w:val="0"/>
        <w:spacing w:line="276" w:lineRule="auto"/>
        <w:rPr>
          <w:rFonts w:hint="eastAsia" w:ascii="宋体" w:hAnsi="宋体"/>
          <w:color w:val="auto"/>
          <w:szCs w:val="24"/>
        </w:rPr>
      </w:pPr>
    </w:p>
    <w:p>
      <w:pPr>
        <w:tabs>
          <w:tab w:val="left" w:pos="6300"/>
        </w:tabs>
        <w:snapToGrid w:val="0"/>
        <w:spacing w:line="276" w:lineRule="auto"/>
        <w:ind w:firstLine="570"/>
        <w:rPr>
          <w:rFonts w:hint="eastAsia" w:ascii="宋体" w:hAnsi="宋体"/>
          <w:color w:val="auto"/>
          <w:szCs w:val="24"/>
        </w:rPr>
      </w:pPr>
      <w:r>
        <w:rPr>
          <w:rFonts w:hint="eastAsia" w:ascii="宋体" w:hAnsi="宋体"/>
          <w:color w:val="auto"/>
          <w:szCs w:val="24"/>
        </w:rPr>
        <w:br w:type="page"/>
      </w:r>
      <w:r>
        <w:rPr>
          <w:rFonts w:hint="eastAsia" w:ascii="宋体" w:hAnsi="宋体"/>
          <w:color w:val="auto"/>
          <w:szCs w:val="24"/>
        </w:rPr>
        <w:t>（三）服务响应条款差异表</w:t>
      </w:r>
    </w:p>
    <w:p>
      <w:pPr>
        <w:spacing w:line="276" w:lineRule="auto"/>
        <w:rPr>
          <w:rFonts w:hint="eastAsia" w:ascii="宋体" w:hAnsi="宋体"/>
          <w:color w:val="auto"/>
        </w:rPr>
      </w:pPr>
      <w:r>
        <w:rPr>
          <w:rFonts w:hint="eastAsia" w:ascii="宋体" w:hAnsi="宋体"/>
          <w:color w:val="auto"/>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color w:val="auto"/>
                <w:sz w:val="21"/>
                <w:szCs w:val="21"/>
              </w:rPr>
            </w:pPr>
            <w:r>
              <w:rPr>
                <w:rFonts w:hint="eastAsia" w:ascii="宋体" w:hAnsi="宋体"/>
                <w:color w:val="auto"/>
                <w:sz w:val="21"/>
                <w:szCs w:val="21"/>
              </w:rPr>
              <w:t>序号</w:t>
            </w:r>
          </w:p>
        </w:tc>
        <w:tc>
          <w:tcPr>
            <w:tcW w:w="242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r>
              <w:rPr>
                <w:rFonts w:hint="eastAsia" w:ascii="宋体" w:hAnsi="宋体"/>
                <w:color w:val="auto"/>
                <w:sz w:val="21"/>
                <w:szCs w:val="21"/>
              </w:rPr>
              <w:t>磋商文件要求</w:t>
            </w:r>
          </w:p>
        </w:tc>
        <w:tc>
          <w:tcPr>
            <w:tcW w:w="2520" w:type="dxa"/>
            <w:noWrap w:val="0"/>
            <w:vAlign w:val="center"/>
          </w:tcPr>
          <w:p>
            <w:pPr>
              <w:tabs>
                <w:tab w:val="left" w:pos="6300"/>
              </w:tabs>
              <w:snapToGrid w:val="0"/>
              <w:spacing w:line="276" w:lineRule="auto"/>
              <w:jc w:val="center"/>
              <w:outlineLvl w:val="0"/>
              <w:rPr>
                <w:rFonts w:hint="eastAsia" w:ascii="宋体" w:hAnsi="宋体"/>
                <w:color w:val="auto"/>
                <w:sz w:val="21"/>
                <w:szCs w:val="21"/>
              </w:rPr>
            </w:pPr>
            <w:r>
              <w:rPr>
                <w:rFonts w:hint="eastAsia" w:ascii="宋体" w:hAnsi="宋体"/>
                <w:color w:val="auto"/>
                <w:sz w:val="21"/>
                <w:szCs w:val="21"/>
              </w:rPr>
              <w:t>应答情况</w:t>
            </w:r>
          </w:p>
        </w:tc>
        <w:tc>
          <w:tcPr>
            <w:tcW w:w="188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r>
              <w:rPr>
                <w:rFonts w:hint="eastAsia" w:ascii="宋体" w:hAnsi="宋体"/>
                <w:color w:val="auto"/>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42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2520"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c>
          <w:tcPr>
            <w:tcW w:w="1888" w:type="dxa"/>
            <w:noWrap w:val="0"/>
            <w:vAlign w:val="center"/>
          </w:tcPr>
          <w:p>
            <w:pPr>
              <w:tabs>
                <w:tab w:val="left" w:pos="6300"/>
              </w:tabs>
              <w:snapToGrid w:val="0"/>
              <w:spacing w:line="276" w:lineRule="auto"/>
              <w:jc w:val="center"/>
              <w:outlineLvl w:val="0"/>
              <w:rPr>
                <w:rFonts w:hint="eastAsia" w:ascii="宋体" w:hAnsi="宋体"/>
                <w:color w:val="auto"/>
                <w:sz w:val="21"/>
                <w:szCs w:val="21"/>
              </w:rPr>
            </w:pPr>
          </w:p>
        </w:tc>
      </w:tr>
    </w:tbl>
    <w:p>
      <w:pPr>
        <w:spacing w:line="276" w:lineRule="auto"/>
        <w:ind w:firstLine="600" w:firstLineChars="250"/>
        <w:rPr>
          <w:rFonts w:hint="eastAsia" w:ascii="宋体" w:hAnsi="宋体"/>
          <w:color w:val="auto"/>
          <w:sz w:val="24"/>
          <w:szCs w:val="28"/>
        </w:rPr>
      </w:pPr>
      <w:r>
        <w:rPr>
          <w:rFonts w:hint="eastAsia" w:ascii="宋体" w:hAnsi="宋体"/>
          <w:color w:val="auto"/>
          <w:sz w:val="24"/>
          <w:szCs w:val="28"/>
        </w:rPr>
        <w:t>供应商：                                  法定代表人授权代表：</w:t>
      </w:r>
    </w:p>
    <w:p>
      <w:pPr>
        <w:spacing w:line="276" w:lineRule="auto"/>
        <w:rPr>
          <w:rFonts w:hint="eastAsia" w:ascii="宋体" w:hAnsi="宋体"/>
          <w:color w:val="auto"/>
          <w:sz w:val="24"/>
          <w:szCs w:val="28"/>
        </w:rPr>
      </w:pPr>
      <w:r>
        <w:rPr>
          <w:rFonts w:hint="eastAsia" w:ascii="宋体" w:hAnsi="宋体"/>
          <w:color w:val="auto"/>
          <w:sz w:val="24"/>
          <w:szCs w:val="28"/>
        </w:rPr>
        <w:t xml:space="preserve">    </w:t>
      </w:r>
    </w:p>
    <w:p>
      <w:pPr>
        <w:spacing w:line="276" w:lineRule="auto"/>
        <w:ind w:firstLine="720" w:firstLineChars="300"/>
        <w:rPr>
          <w:rFonts w:hint="eastAsia" w:ascii="宋体" w:hAnsi="宋体"/>
          <w:color w:val="auto"/>
          <w:sz w:val="24"/>
          <w:szCs w:val="28"/>
        </w:rPr>
      </w:pPr>
      <w:r>
        <w:rPr>
          <w:rFonts w:hint="eastAsia" w:ascii="宋体" w:hAnsi="宋体"/>
          <w:color w:val="auto"/>
          <w:sz w:val="24"/>
          <w:szCs w:val="28"/>
        </w:rPr>
        <w:t>（供应商公章）                               （签字或盖章）</w:t>
      </w: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szCs w:val="28"/>
        </w:rPr>
        <w:t xml:space="preserve">                                            年     月     日</w:t>
      </w:r>
    </w:p>
    <w:p>
      <w:pPr>
        <w:tabs>
          <w:tab w:val="left" w:pos="6300"/>
        </w:tabs>
        <w:snapToGrid w:val="0"/>
        <w:spacing w:line="276" w:lineRule="auto"/>
        <w:ind w:firstLine="570"/>
        <w:rPr>
          <w:rFonts w:hint="eastAsia" w:ascii="宋体" w:hAnsi="宋体"/>
          <w:color w:val="auto"/>
          <w:sz w:val="24"/>
        </w:rPr>
      </w:pPr>
      <w:r>
        <w:rPr>
          <w:rFonts w:hint="eastAsia" w:ascii="宋体" w:hAnsi="宋体"/>
          <w:color w:val="auto"/>
          <w:sz w:val="24"/>
        </w:rPr>
        <w:t>注：</w:t>
      </w:r>
    </w:p>
    <w:p>
      <w:pPr>
        <w:tabs>
          <w:tab w:val="left" w:pos="6300"/>
        </w:tabs>
        <w:snapToGrid w:val="0"/>
        <w:spacing w:line="276" w:lineRule="auto"/>
        <w:ind w:firstLine="570"/>
        <w:rPr>
          <w:rFonts w:hint="eastAsia" w:ascii="宋体" w:hAnsi="宋体"/>
          <w:color w:val="auto"/>
          <w:sz w:val="24"/>
          <w:szCs w:val="24"/>
        </w:rPr>
      </w:pPr>
      <w:r>
        <w:rPr>
          <w:rFonts w:hint="eastAsia" w:ascii="宋体" w:hAnsi="宋体"/>
          <w:color w:val="auto"/>
          <w:sz w:val="24"/>
          <w:szCs w:val="24"/>
        </w:rPr>
        <w:t>1、本表即为对本项目“第二篇 项目具体要求 ”中所列要求进行比较和响应；</w:t>
      </w:r>
    </w:p>
    <w:p>
      <w:pPr>
        <w:tabs>
          <w:tab w:val="left" w:pos="6300"/>
        </w:tabs>
        <w:snapToGrid w:val="0"/>
        <w:spacing w:line="276" w:lineRule="auto"/>
        <w:ind w:firstLine="570"/>
        <w:rPr>
          <w:rFonts w:hint="eastAsia" w:ascii="宋体" w:hAnsi="宋体"/>
          <w:color w:val="auto"/>
          <w:sz w:val="24"/>
          <w:szCs w:val="24"/>
        </w:rPr>
      </w:pPr>
      <w:r>
        <w:rPr>
          <w:rFonts w:hint="eastAsia" w:ascii="宋体" w:hAnsi="宋体"/>
          <w:color w:val="auto"/>
          <w:sz w:val="24"/>
          <w:szCs w:val="24"/>
        </w:rPr>
        <w:t>2、该表必须按照磋商文件要求逐条如实填写，根据情况在“差异说明”项填写正偏离或负偏离及原因，完全符合的填写“无差异”；</w:t>
      </w:r>
    </w:p>
    <w:p>
      <w:pPr>
        <w:tabs>
          <w:tab w:val="left" w:pos="6300"/>
        </w:tabs>
        <w:snapToGrid w:val="0"/>
        <w:spacing w:line="276" w:lineRule="auto"/>
        <w:ind w:firstLine="570"/>
        <w:rPr>
          <w:rFonts w:hint="eastAsia" w:ascii="宋体" w:hAnsi="宋体"/>
          <w:color w:val="auto"/>
          <w:sz w:val="24"/>
          <w:szCs w:val="24"/>
        </w:rPr>
      </w:pPr>
      <w:r>
        <w:rPr>
          <w:rFonts w:hint="eastAsia" w:ascii="宋体" w:hAnsi="宋体"/>
          <w:color w:val="auto"/>
          <w:sz w:val="24"/>
          <w:szCs w:val="24"/>
        </w:rPr>
        <w:t>3、该表可扩展；</w:t>
      </w:r>
    </w:p>
    <w:p>
      <w:pPr>
        <w:tabs>
          <w:tab w:val="left" w:pos="6300"/>
        </w:tabs>
        <w:snapToGrid w:val="0"/>
        <w:spacing w:line="276" w:lineRule="auto"/>
        <w:ind w:firstLine="570"/>
        <w:rPr>
          <w:rFonts w:hint="eastAsia" w:ascii="宋体" w:hAnsi="宋体"/>
          <w:color w:val="auto"/>
          <w:sz w:val="24"/>
          <w:szCs w:val="24"/>
        </w:rPr>
      </w:pPr>
      <w:r>
        <w:rPr>
          <w:rFonts w:hint="eastAsia" w:ascii="宋体" w:hAnsi="宋体"/>
          <w:color w:val="auto"/>
          <w:sz w:val="24"/>
          <w:szCs w:val="24"/>
        </w:rPr>
        <w:t>4、可附相关技术支撑材料。（格式自定）</w:t>
      </w:r>
    </w:p>
    <w:p>
      <w:pPr>
        <w:tabs>
          <w:tab w:val="left" w:pos="6300"/>
        </w:tabs>
        <w:snapToGrid w:val="0"/>
        <w:spacing w:line="276" w:lineRule="auto"/>
        <w:ind w:firstLine="570"/>
        <w:rPr>
          <w:rFonts w:hint="eastAsia" w:ascii="宋体" w:hAnsi="宋体"/>
          <w:color w:val="auto"/>
          <w:sz w:val="24"/>
          <w:szCs w:val="24"/>
        </w:rPr>
      </w:pPr>
    </w:p>
    <w:p>
      <w:pPr>
        <w:spacing w:line="276" w:lineRule="auto"/>
        <w:rPr>
          <w:rFonts w:hint="eastAsia" w:ascii="宋体" w:hAnsi="宋体"/>
          <w:color w:val="auto"/>
        </w:rPr>
      </w:pPr>
    </w:p>
    <w:p>
      <w:pPr>
        <w:spacing w:line="276" w:lineRule="auto"/>
        <w:rPr>
          <w:rFonts w:hint="eastAsia" w:ascii="宋体" w:hAnsi="宋体"/>
          <w:color w:val="auto"/>
        </w:rPr>
      </w:pPr>
    </w:p>
    <w:p>
      <w:pPr>
        <w:pStyle w:val="3"/>
        <w:pageBreakBefore/>
        <w:spacing w:line="276" w:lineRule="auto"/>
        <w:rPr>
          <w:rFonts w:hint="eastAsia"/>
          <w:b/>
          <w:color w:val="auto"/>
          <w:szCs w:val="28"/>
        </w:rPr>
      </w:pPr>
      <w:bookmarkStart w:id="66" w:name="_Toc429584888"/>
      <w:bookmarkStart w:id="67" w:name="_Toc2499"/>
      <w:bookmarkStart w:id="68" w:name="_Toc441065698"/>
      <w:r>
        <w:rPr>
          <w:rFonts w:hint="eastAsia"/>
          <w:b/>
          <w:color w:val="auto"/>
          <w:szCs w:val="28"/>
        </w:rPr>
        <w:t>四、其他</w:t>
      </w:r>
      <w:bookmarkEnd w:id="66"/>
      <w:bookmarkEnd w:id="67"/>
      <w:bookmarkEnd w:id="68"/>
    </w:p>
    <w:p>
      <w:pPr>
        <w:tabs>
          <w:tab w:val="left" w:pos="6300"/>
        </w:tabs>
        <w:snapToGrid w:val="0"/>
        <w:spacing w:line="276" w:lineRule="auto"/>
        <w:ind w:firstLine="560"/>
        <w:jc w:val="left"/>
        <w:rPr>
          <w:rFonts w:hint="eastAsia" w:ascii="宋体" w:hAnsi="宋体"/>
          <w:color w:val="auto"/>
          <w:sz w:val="21"/>
          <w:szCs w:val="21"/>
        </w:rPr>
      </w:pPr>
      <w:r>
        <w:rPr>
          <w:rFonts w:hint="eastAsia" w:ascii="宋体" w:hAnsi="宋体"/>
          <w:color w:val="auto"/>
          <w:sz w:val="21"/>
          <w:szCs w:val="21"/>
        </w:rPr>
        <w:t>（一）供应商中小微企业声明函、残疾人福利性单位声明函</w:t>
      </w:r>
    </w:p>
    <w:p>
      <w:pPr>
        <w:spacing w:line="276" w:lineRule="auto"/>
        <w:rPr>
          <w:rFonts w:hint="eastAsia" w:ascii="宋体" w:hAnsi="宋体"/>
          <w:color w:val="auto"/>
          <w:sz w:val="24"/>
          <w:szCs w:val="24"/>
        </w:rPr>
      </w:pPr>
      <w:r>
        <w:rPr>
          <w:rFonts w:hint="eastAsia" w:ascii="宋体" w:hAnsi="宋体"/>
          <w:color w:val="auto"/>
          <w:sz w:val="24"/>
          <w:szCs w:val="24"/>
        </w:rPr>
        <w:t>1.中小微企业声明函</w:t>
      </w:r>
    </w:p>
    <w:p>
      <w:pPr>
        <w:spacing w:line="276" w:lineRule="auto"/>
        <w:rPr>
          <w:rFonts w:hint="eastAsia" w:ascii="宋体" w:hAnsi="宋体"/>
          <w:color w:val="auto"/>
          <w:sz w:val="24"/>
          <w:szCs w:val="24"/>
          <w:u w:val="single"/>
        </w:rPr>
      </w:pPr>
      <w:r>
        <w:rPr>
          <w:rFonts w:hint="eastAsia" w:ascii="宋体" w:hAnsi="宋体"/>
          <w:color w:val="auto"/>
          <w:sz w:val="24"/>
          <w:szCs w:val="24"/>
        </w:rPr>
        <w:t xml:space="preserve">项目名称: </w:t>
      </w:r>
      <w:r>
        <w:rPr>
          <w:rFonts w:hint="eastAsia" w:ascii="宋体" w:hAnsi="宋体"/>
          <w:color w:val="auto"/>
          <w:sz w:val="24"/>
          <w:szCs w:val="24"/>
          <w:u w:val="single"/>
        </w:rPr>
        <w:t xml:space="preserve">                                </w:t>
      </w:r>
    </w:p>
    <w:p>
      <w:pPr>
        <w:spacing w:line="276" w:lineRule="auto"/>
        <w:rPr>
          <w:rFonts w:hint="eastAsia" w:ascii="宋体" w:hAnsi="宋体"/>
          <w:color w:val="auto"/>
          <w:sz w:val="24"/>
          <w:szCs w:val="24"/>
        </w:rPr>
      </w:pPr>
      <w:r>
        <w:rPr>
          <w:rFonts w:hint="eastAsia" w:ascii="宋体" w:hAnsi="宋体"/>
          <w:color w:val="auto"/>
          <w:sz w:val="24"/>
          <w:szCs w:val="24"/>
        </w:rPr>
        <w:t xml:space="preserve">致: </w:t>
      </w:r>
      <w:r>
        <w:rPr>
          <w:rFonts w:hint="eastAsia" w:ascii="宋体" w:hAnsi="宋体"/>
          <w:color w:val="auto"/>
          <w:sz w:val="24"/>
          <w:szCs w:val="24"/>
          <w:u w:val="single"/>
        </w:rPr>
        <w:t xml:space="preserve">                                     </w:t>
      </w:r>
      <w:r>
        <w:rPr>
          <w:rFonts w:hint="eastAsia" w:ascii="宋体" w:hAnsi="宋体"/>
          <w:color w:val="auto"/>
          <w:sz w:val="24"/>
          <w:szCs w:val="24"/>
        </w:rPr>
        <w:t>(采购人名称)</w:t>
      </w:r>
    </w:p>
    <w:p>
      <w:pPr>
        <w:spacing w:line="276" w:lineRule="auto"/>
        <w:rPr>
          <w:rFonts w:hint="eastAsia" w:ascii="宋体" w:hAnsi="宋体"/>
          <w:color w:val="auto"/>
          <w:sz w:val="24"/>
          <w:szCs w:val="24"/>
        </w:rPr>
      </w:pPr>
      <w:r>
        <w:rPr>
          <w:rFonts w:hint="eastAsia" w:ascii="宋体" w:hAnsi="宋体"/>
          <w:color w:val="auto"/>
          <w:sz w:val="24"/>
          <w:szCs w:val="24"/>
        </w:rPr>
        <w:t>本企业郑重声明，根据《政府采购促进中小企业发展暂行办法》(财库【2011】181号)的规定，本企业为</w:t>
      </w:r>
      <w:r>
        <w:rPr>
          <w:rFonts w:hint="eastAsia" w:ascii="宋体" w:hAnsi="宋体"/>
          <w:color w:val="auto"/>
          <w:sz w:val="24"/>
          <w:szCs w:val="24"/>
          <w:u w:val="single"/>
        </w:rPr>
        <w:t xml:space="preserve">                 </w:t>
      </w:r>
      <w:r>
        <w:rPr>
          <w:rFonts w:hint="eastAsia" w:ascii="宋体" w:hAnsi="宋体"/>
          <w:color w:val="auto"/>
          <w:sz w:val="24"/>
          <w:szCs w:val="24"/>
        </w:rPr>
        <w:t>(请填写:中型、小型、微型)企业。即，本企业同时满足以下条件:</w:t>
      </w:r>
    </w:p>
    <w:p>
      <w:pPr>
        <w:spacing w:line="276" w:lineRule="auto"/>
        <w:rPr>
          <w:rFonts w:hint="eastAsia" w:ascii="宋体" w:hAnsi="宋体"/>
          <w:color w:val="auto"/>
          <w:sz w:val="24"/>
          <w:szCs w:val="24"/>
        </w:rPr>
      </w:pPr>
      <w:r>
        <w:rPr>
          <w:rFonts w:hint="eastAsia" w:ascii="宋体" w:hAnsi="宋体"/>
          <w:color w:val="auto"/>
          <w:sz w:val="24"/>
          <w:szCs w:val="24"/>
        </w:rPr>
        <w:t>1.根据《工业和信息化部 国家统计局 国家发展和改革委员会 财政部关于印发中小企业划型标准规定的通知》（工信部联企业【2011】300号)的划分标准，本企业为</w:t>
      </w:r>
      <w:r>
        <w:rPr>
          <w:rFonts w:hint="eastAsia" w:ascii="宋体" w:hAnsi="宋体"/>
          <w:color w:val="auto"/>
          <w:sz w:val="24"/>
          <w:szCs w:val="24"/>
          <w:u w:val="single"/>
        </w:rPr>
        <w:t xml:space="preserve">                 </w:t>
      </w:r>
      <w:r>
        <w:rPr>
          <w:rFonts w:hint="eastAsia" w:ascii="宋体" w:hAnsi="宋体"/>
          <w:color w:val="auto"/>
          <w:sz w:val="24"/>
          <w:szCs w:val="24"/>
        </w:rPr>
        <w:t>行业            (行业类别)的</w:t>
      </w:r>
      <w:r>
        <w:rPr>
          <w:rFonts w:hint="eastAsia" w:ascii="宋体" w:hAnsi="宋体"/>
          <w:color w:val="auto"/>
          <w:sz w:val="24"/>
          <w:szCs w:val="24"/>
          <w:u w:val="single"/>
        </w:rPr>
        <w:t xml:space="preserve">               </w:t>
      </w:r>
      <w:r>
        <w:rPr>
          <w:rFonts w:hint="eastAsia" w:ascii="宋体" w:hAnsi="宋体"/>
          <w:color w:val="auto"/>
          <w:sz w:val="24"/>
          <w:szCs w:val="24"/>
        </w:rPr>
        <w:t>(请填写:中型、小型、微型)企业。</w:t>
      </w:r>
    </w:p>
    <w:p>
      <w:pPr>
        <w:spacing w:line="276" w:lineRule="auto"/>
        <w:rPr>
          <w:rFonts w:hint="eastAsia" w:ascii="宋体" w:hAnsi="宋体"/>
          <w:color w:val="auto"/>
          <w:sz w:val="24"/>
          <w:szCs w:val="24"/>
        </w:rPr>
      </w:pPr>
      <w:r>
        <w:rPr>
          <w:rFonts w:hint="eastAsia" w:ascii="宋体" w:hAnsi="宋体"/>
          <w:color w:val="auto"/>
          <w:sz w:val="24"/>
          <w:szCs w:val="24"/>
        </w:rPr>
        <w:t>2.本企业参加本项目提供本企业制造的货物、承担的工程或者服务，或者提供他小微企业制造的货物。</w:t>
      </w:r>
    </w:p>
    <w:p>
      <w:pPr>
        <w:spacing w:line="276" w:lineRule="auto"/>
        <w:rPr>
          <w:rFonts w:hint="eastAsia" w:ascii="宋体" w:hAnsi="宋体"/>
          <w:color w:val="auto"/>
          <w:sz w:val="24"/>
          <w:szCs w:val="24"/>
        </w:rPr>
      </w:pPr>
      <w:r>
        <w:rPr>
          <w:rFonts w:hint="eastAsia" w:ascii="宋体" w:hAnsi="宋体"/>
          <w:color w:val="auto"/>
          <w:sz w:val="24"/>
          <w:szCs w:val="24"/>
        </w:rPr>
        <w:t>企业基本情况表</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625"/>
        <w:gridCol w:w="205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spacing w:line="276" w:lineRule="auto"/>
              <w:rPr>
                <w:rFonts w:hint="eastAsia" w:ascii="宋体" w:hAnsi="宋体"/>
                <w:color w:val="auto"/>
                <w:sz w:val="24"/>
                <w:szCs w:val="24"/>
              </w:rPr>
            </w:pPr>
            <w:r>
              <w:rPr>
                <w:rFonts w:hint="eastAsia" w:ascii="宋体" w:hAnsi="宋体"/>
                <w:color w:val="auto"/>
                <w:sz w:val="24"/>
                <w:szCs w:val="24"/>
              </w:rPr>
              <w:t>行业类别</w:t>
            </w:r>
          </w:p>
        </w:tc>
        <w:tc>
          <w:tcPr>
            <w:tcW w:w="2625" w:type="dxa"/>
            <w:noWrap w:val="0"/>
            <w:vAlign w:val="top"/>
          </w:tcPr>
          <w:p>
            <w:pPr>
              <w:spacing w:line="276" w:lineRule="auto"/>
              <w:rPr>
                <w:rFonts w:hint="eastAsia" w:ascii="宋体" w:hAnsi="宋体"/>
                <w:color w:val="auto"/>
                <w:sz w:val="24"/>
                <w:szCs w:val="24"/>
              </w:rPr>
            </w:pPr>
            <w:r>
              <w:rPr>
                <w:rFonts w:hint="eastAsia" w:ascii="宋体" w:hAnsi="宋体"/>
                <w:color w:val="auto"/>
                <w:sz w:val="24"/>
                <w:szCs w:val="24"/>
              </w:rPr>
              <w:t>营业收入(万元)</w:t>
            </w:r>
          </w:p>
        </w:tc>
        <w:tc>
          <w:tcPr>
            <w:tcW w:w="2055" w:type="dxa"/>
            <w:noWrap w:val="0"/>
            <w:vAlign w:val="top"/>
          </w:tcPr>
          <w:p>
            <w:pPr>
              <w:spacing w:line="276" w:lineRule="auto"/>
              <w:rPr>
                <w:rFonts w:hint="eastAsia" w:ascii="宋体" w:hAnsi="宋体"/>
                <w:color w:val="auto"/>
                <w:sz w:val="24"/>
                <w:szCs w:val="24"/>
              </w:rPr>
            </w:pPr>
            <w:r>
              <w:rPr>
                <w:rFonts w:hint="eastAsia" w:ascii="宋体" w:hAnsi="宋体"/>
                <w:color w:val="auto"/>
                <w:sz w:val="24"/>
                <w:szCs w:val="24"/>
              </w:rPr>
              <w:t>从业人员(人)</w:t>
            </w:r>
          </w:p>
        </w:tc>
        <w:tc>
          <w:tcPr>
            <w:tcW w:w="2385" w:type="dxa"/>
            <w:noWrap w:val="0"/>
            <w:vAlign w:val="top"/>
          </w:tcPr>
          <w:p>
            <w:pPr>
              <w:spacing w:line="276" w:lineRule="auto"/>
              <w:rPr>
                <w:rFonts w:hint="eastAsia" w:ascii="宋体" w:hAnsi="宋体"/>
                <w:color w:val="auto"/>
                <w:sz w:val="24"/>
                <w:szCs w:val="24"/>
              </w:rPr>
            </w:pPr>
            <w:r>
              <w:rPr>
                <w:rFonts w:hint="eastAsia" w:ascii="宋体" w:hAnsi="宋体"/>
                <w:color w:val="auto"/>
                <w:sz w:val="24"/>
                <w:szCs w:val="24"/>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1" w:type="dxa"/>
            <w:noWrap w:val="0"/>
            <w:vAlign w:val="top"/>
          </w:tcPr>
          <w:p>
            <w:pPr>
              <w:spacing w:line="276" w:lineRule="auto"/>
              <w:rPr>
                <w:rFonts w:hint="eastAsia" w:ascii="宋体" w:hAnsi="宋体"/>
                <w:color w:val="auto"/>
                <w:sz w:val="24"/>
                <w:szCs w:val="24"/>
              </w:rPr>
            </w:pPr>
          </w:p>
        </w:tc>
        <w:tc>
          <w:tcPr>
            <w:tcW w:w="2625" w:type="dxa"/>
            <w:noWrap w:val="0"/>
            <w:vAlign w:val="top"/>
          </w:tcPr>
          <w:p>
            <w:pPr>
              <w:spacing w:line="276" w:lineRule="auto"/>
              <w:rPr>
                <w:rFonts w:hint="eastAsia" w:ascii="宋体" w:hAnsi="宋体"/>
                <w:color w:val="auto"/>
                <w:sz w:val="24"/>
                <w:szCs w:val="24"/>
              </w:rPr>
            </w:pPr>
          </w:p>
        </w:tc>
        <w:tc>
          <w:tcPr>
            <w:tcW w:w="2055" w:type="dxa"/>
            <w:noWrap w:val="0"/>
            <w:vAlign w:val="top"/>
          </w:tcPr>
          <w:p>
            <w:pPr>
              <w:spacing w:line="276" w:lineRule="auto"/>
              <w:rPr>
                <w:rFonts w:hint="eastAsia" w:ascii="宋体" w:hAnsi="宋体"/>
                <w:color w:val="auto"/>
                <w:sz w:val="24"/>
                <w:szCs w:val="24"/>
              </w:rPr>
            </w:pPr>
          </w:p>
        </w:tc>
        <w:tc>
          <w:tcPr>
            <w:tcW w:w="2385" w:type="dxa"/>
            <w:noWrap w:val="0"/>
            <w:vAlign w:val="top"/>
          </w:tcPr>
          <w:p>
            <w:pPr>
              <w:spacing w:line="276" w:lineRule="auto"/>
              <w:rPr>
                <w:rFonts w:hint="eastAsia" w:ascii="宋体" w:hAnsi="宋体"/>
                <w:color w:val="auto"/>
                <w:sz w:val="24"/>
                <w:szCs w:val="24"/>
              </w:rPr>
            </w:pPr>
          </w:p>
        </w:tc>
      </w:tr>
    </w:tbl>
    <w:p>
      <w:pPr>
        <w:spacing w:line="276" w:lineRule="auto"/>
        <w:rPr>
          <w:rFonts w:hint="eastAsia" w:ascii="宋体" w:hAnsi="宋体"/>
          <w:color w:val="auto"/>
          <w:sz w:val="24"/>
          <w:szCs w:val="24"/>
        </w:rPr>
      </w:pPr>
      <w:r>
        <w:rPr>
          <w:rFonts w:hint="eastAsia" w:ascii="宋体" w:hAnsi="宋体"/>
          <w:color w:val="auto"/>
          <w:sz w:val="24"/>
          <w:szCs w:val="24"/>
        </w:rPr>
        <w:t>本企业对上述声明的真实性负责。如有虚假，将依法承担相应责任。</w:t>
      </w:r>
    </w:p>
    <w:p>
      <w:pPr>
        <w:spacing w:line="276" w:lineRule="auto"/>
        <w:rPr>
          <w:rFonts w:hint="eastAsia" w:ascii="宋体" w:hAnsi="宋体"/>
          <w:color w:val="auto"/>
          <w:sz w:val="24"/>
          <w:szCs w:val="24"/>
        </w:rPr>
      </w:pPr>
    </w:p>
    <w:p>
      <w:pPr>
        <w:spacing w:line="276" w:lineRule="auto"/>
        <w:rPr>
          <w:rFonts w:hint="eastAsia" w:ascii="宋体" w:hAnsi="宋体"/>
          <w:color w:val="auto"/>
          <w:sz w:val="24"/>
          <w:szCs w:val="24"/>
        </w:rPr>
      </w:pPr>
      <w:r>
        <w:rPr>
          <w:rFonts w:hint="eastAsia" w:ascii="宋体" w:hAnsi="宋体"/>
          <w:color w:val="auto"/>
          <w:sz w:val="24"/>
          <w:szCs w:val="24"/>
        </w:rPr>
        <w:t>供应商名称(公章)：</w:t>
      </w:r>
    </w:p>
    <w:p>
      <w:pPr>
        <w:spacing w:line="276" w:lineRule="auto"/>
        <w:rPr>
          <w:rFonts w:hint="eastAsia" w:ascii="宋体" w:hAnsi="宋体"/>
          <w:color w:val="auto"/>
          <w:sz w:val="24"/>
          <w:szCs w:val="24"/>
        </w:rPr>
      </w:pPr>
      <w:r>
        <w:rPr>
          <w:rFonts w:hint="eastAsia" w:ascii="宋体" w:hAnsi="宋体"/>
          <w:color w:val="auto"/>
          <w:sz w:val="24"/>
          <w:szCs w:val="24"/>
        </w:rPr>
        <w:t>年  月  日</w:t>
      </w:r>
    </w:p>
    <w:p>
      <w:pPr>
        <w:spacing w:line="276" w:lineRule="auto"/>
        <w:rPr>
          <w:rFonts w:hint="eastAsia" w:ascii="宋体" w:hAnsi="宋体"/>
          <w:color w:val="auto"/>
          <w:sz w:val="24"/>
          <w:szCs w:val="24"/>
        </w:rPr>
      </w:pPr>
      <w:r>
        <w:rPr>
          <w:rFonts w:hint="eastAsia" w:ascii="宋体" w:hAnsi="宋体"/>
          <w:color w:val="auto"/>
          <w:sz w:val="24"/>
          <w:szCs w:val="24"/>
        </w:rPr>
        <w:t>填写《企业基本情况表》时，应注意以下事项:</w:t>
      </w:r>
    </w:p>
    <w:p>
      <w:pPr>
        <w:spacing w:line="276" w:lineRule="auto"/>
        <w:rPr>
          <w:rFonts w:hint="eastAsia" w:ascii="宋体" w:hAnsi="宋体"/>
          <w:color w:val="auto"/>
          <w:sz w:val="24"/>
          <w:szCs w:val="24"/>
        </w:rPr>
      </w:pPr>
      <w:r>
        <w:rPr>
          <w:rFonts w:hint="eastAsia" w:ascii="宋体" w:hAnsi="宋体"/>
          <w:color w:val="auto"/>
          <w:sz w:val="24"/>
          <w:szCs w:val="24"/>
        </w:rPr>
        <w:t>1.除建筑业、房地产开发经营、租赁和商务服务业三个行业</w:t>
      </w:r>
    </w:p>
    <w:p>
      <w:pPr>
        <w:spacing w:line="276" w:lineRule="auto"/>
        <w:rPr>
          <w:rFonts w:hint="eastAsia" w:ascii="宋体" w:hAnsi="宋体"/>
          <w:color w:val="auto"/>
          <w:sz w:val="24"/>
          <w:szCs w:val="24"/>
        </w:rPr>
      </w:pPr>
      <w:r>
        <w:rPr>
          <w:rFonts w:hint="eastAsia" w:ascii="宋体" w:hAnsi="宋体"/>
          <w:color w:val="auto"/>
          <w:sz w:val="24"/>
          <w:szCs w:val="24"/>
        </w:rPr>
        <w:t>外，其余行业无需填写资产总额项。</w:t>
      </w:r>
    </w:p>
    <w:p>
      <w:pPr>
        <w:spacing w:line="276" w:lineRule="auto"/>
        <w:rPr>
          <w:rFonts w:hint="eastAsia" w:ascii="宋体" w:hAnsi="宋体"/>
          <w:color w:val="auto"/>
          <w:sz w:val="24"/>
          <w:szCs w:val="24"/>
        </w:rPr>
      </w:pPr>
      <w:r>
        <w:rPr>
          <w:rFonts w:hint="eastAsia" w:ascii="宋体" w:hAnsi="宋体"/>
          <w:color w:val="auto"/>
          <w:sz w:val="24"/>
          <w:szCs w:val="24"/>
        </w:rPr>
        <w:t>2.农、林、牧、渔业无需填写从业人员和资产总额项。</w:t>
      </w:r>
    </w:p>
    <w:p>
      <w:pPr>
        <w:spacing w:line="276" w:lineRule="auto"/>
        <w:rPr>
          <w:rFonts w:hint="eastAsia" w:ascii="宋体" w:hAnsi="宋体"/>
          <w:color w:val="auto"/>
          <w:sz w:val="24"/>
          <w:szCs w:val="24"/>
        </w:rPr>
      </w:pPr>
      <w:r>
        <w:rPr>
          <w:rFonts w:hint="eastAsia" w:ascii="宋体" w:hAnsi="宋体"/>
          <w:color w:val="auto"/>
          <w:sz w:val="24"/>
          <w:szCs w:val="24"/>
        </w:rPr>
        <w:t>3.小微企业投标(供应)的产品若涉及到其他企业制造且符合扶持小微企业政策的，还需提供所涉及的其他企业的《中小微企业声明函》，否则将不被认定为小微企业。</w:t>
      </w:r>
    </w:p>
    <w:p>
      <w:pPr>
        <w:spacing w:line="276" w:lineRule="auto"/>
        <w:rPr>
          <w:rFonts w:hint="eastAsia" w:ascii="宋体" w:hAnsi="宋体"/>
          <w:color w:val="auto"/>
        </w:rPr>
      </w:pPr>
    </w:p>
    <w:p>
      <w:pPr>
        <w:pStyle w:val="28"/>
        <w:rPr>
          <w:rFonts w:hint="eastAsia" w:ascii="宋体" w:hAnsi="宋体"/>
          <w:color w:val="auto"/>
        </w:rPr>
      </w:pPr>
    </w:p>
    <w:p>
      <w:pPr>
        <w:rPr>
          <w:rFonts w:hint="eastAsia" w:ascii="宋体" w:hAnsi="宋体"/>
          <w:color w:val="auto"/>
        </w:rPr>
      </w:pPr>
    </w:p>
    <w:p>
      <w:pPr>
        <w:pStyle w:val="28"/>
        <w:rPr>
          <w:rFonts w:hint="eastAsia" w:ascii="宋体" w:hAnsi="宋体"/>
          <w:color w:val="auto"/>
        </w:rPr>
      </w:pPr>
    </w:p>
    <w:p>
      <w:pPr>
        <w:rPr>
          <w:rFonts w:hint="eastAsia" w:ascii="宋体" w:hAnsi="宋体"/>
          <w:color w:val="auto"/>
        </w:rPr>
      </w:pPr>
    </w:p>
    <w:p>
      <w:pPr>
        <w:pStyle w:val="28"/>
        <w:rPr>
          <w:rFonts w:hint="eastAsia" w:ascii="宋体" w:hAnsi="宋体"/>
          <w:color w:val="auto"/>
        </w:rPr>
      </w:pPr>
    </w:p>
    <w:p>
      <w:pPr>
        <w:rPr>
          <w:rFonts w:hint="eastAsia" w:ascii="宋体" w:hAnsi="宋体"/>
          <w:color w:val="auto"/>
        </w:rPr>
      </w:pPr>
    </w:p>
    <w:p>
      <w:pPr>
        <w:pStyle w:val="28"/>
        <w:rPr>
          <w:rFonts w:hint="eastAsia" w:ascii="宋体" w:hAnsi="宋体"/>
          <w:color w:val="auto"/>
        </w:rPr>
      </w:pPr>
    </w:p>
    <w:p>
      <w:pPr>
        <w:rPr>
          <w:rFonts w:hint="eastAsia" w:ascii="宋体" w:hAnsi="宋体"/>
          <w:color w:val="auto"/>
        </w:rPr>
      </w:pPr>
    </w:p>
    <w:p>
      <w:pPr>
        <w:pStyle w:val="28"/>
        <w:rPr>
          <w:rFonts w:hint="eastAsia" w:ascii="宋体" w:hAnsi="宋体"/>
          <w:color w:val="auto"/>
        </w:rPr>
      </w:pPr>
    </w:p>
    <w:p>
      <w:pPr>
        <w:rPr>
          <w:rFonts w:hint="eastAsia" w:ascii="宋体" w:hAnsi="宋体"/>
          <w:color w:val="auto"/>
        </w:rPr>
      </w:pPr>
    </w:p>
    <w:p>
      <w:pPr>
        <w:pStyle w:val="28"/>
        <w:rPr>
          <w:rFonts w:hint="eastAsia" w:ascii="宋体" w:hAnsi="宋体"/>
          <w:color w:val="auto"/>
        </w:rPr>
      </w:pPr>
    </w:p>
    <w:p>
      <w:pPr>
        <w:rPr>
          <w:rFonts w:hint="eastAsia" w:ascii="宋体" w:hAnsi="宋体"/>
          <w:color w:val="auto"/>
        </w:rPr>
      </w:pPr>
    </w:p>
    <w:p>
      <w:pPr>
        <w:pStyle w:val="28"/>
        <w:rPr>
          <w:rFonts w:hint="eastAsia" w:ascii="宋体" w:hAnsi="宋体"/>
          <w:color w:val="auto"/>
        </w:rPr>
      </w:pPr>
    </w:p>
    <w:p>
      <w:pPr>
        <w:rPr>
          <w:rFonts w:hint="eastAsia" w:ascii="宋体" w:hAnsi="宋体"/>
          <w:color w:val="auto"/>
        </w:rPr>
      </w:pPr>
    </w:p>
    <w:p>
      <w:pPr>
        <w:pStyle w:val="28"/>
        <w:rPr>
          <w:rFonts w:hint="eastAsia" w:ascii="宋体" w:hAnsi="宋体"/>
          <w:color w:val="auto"/>
        </w:rPr>
      </w:pPr>
    </w:p>
    <w:p>
      <w:pPr>
        <w:rPr>
          <w:rFonts w:hint="eastAsia" w:ascii="宋体" w:hAnsi="宋体"/>
          <w:color w:val="auto"/>
        </w:rPr>
      </w:pPr>
    </w:p>
    <w:p>
      <w:pPr>
        <w:pStyle w:val="28"/>
        <w:rPr>
          <w:rFonts w:hint="eastAsia" w:ascii="宋体" w:hAnsi="宋体"/>
          <w:color w:val="auto"/>
        </w:rPr>
      </w:pPr>
    </w:p>
    <w:p>
      <w:pPr>
        <w:rPr>
          <w:rFonts w:hint="eastAsia" w:ascii="宋体" w:hAnsi="宋体"/>
          <w:color w:val="auto"/>
        </w:rPr>
      </w:pPr>
    </w:p>
    <w:p>
      <w:pPr>
        <w:pStyle w:val="28"/>
        <w:rPr>
          <w:rFonts w:hint="eastAsia" w:ascii="宋体" w:hAnsi="宋体"/>
          <w:color w:val="auto"/>
        </w:rPr>
      </w:pPr>
    </w:p>
    <w:p>
      <w:pPr>
        <w:rPr>
          <w:color w:val="auto"/>
        </w:rPr>
      </w:pPr>
    </w:p>
    <w:p>
      <w:pPr>
        <w:tabs>
          <w:tab w:val="left" w:pos="6300"/>
        </w:tabs>
        <w:snapToGrid w:val="0"/>
        <w:spacing w:line="276" w:lineRule="auto"/>
        <w:ind w:firstLine="420" w:firstLineChars="200"/>
        <w:outlineLvl w:val="0"/>
        <w:rPr>
          <w:rFonts w:hint="eastAsia" w:ascii="宋体" w:hAnsi="宋体"/>
          <w:color w:val="auto"/>
          <w:sz w:val="21"/>
          <w:szCs w:val="21"/>
        </w:rPr>
      </w:pPr>
    </w:p>
    <w:p>
      <w:pPr>
        <w:tabs>
          <w:tab w:val="left" w:pos="6300"/>
        </w:tabs>
        <w:snapToGrid w:val="0"/>
        <w:spacing w:line="276" w:lineRule="auto"/>
        <w:ind w:firstLine="420" w:firstLineChars="200"/>
        <w:outlineLvl w:val="0"/>
        <w:rPr>
          <w:rFonts w:hint="eastAsia" w:ascii="宋体" w:hAnsi="宋体"/>
          <w:color w:val="auto"/>
          <w:sz w:val="21"/>
          <w:szCs w:val="21"/>
        </w:rPr>
      </w:pPr>
    </w:p>
    <w:p>
      <w:pPr>
        <w:spacing w:line="276" w:lineRule="auto"/>
        <w:rPr>
          <w:rFonts w:hint="eastAsia" w:ascii="宋体" w:hAnsi="宋体"/>
          <w:color w:val="auto"/>
        </w:rPr>
      </w:pPr>
      <w:r>
        <w:rPr>
          <w:rFonts w:hint="eastAsia" w:ascii="宋体" w:hAnsi="宋体"/>
          <w:color w:val="auto"/>
        </w:rPr>
        <w:t>2.残疾人福利性单位声明函</w:t>
      </w:r>
    </w:p>
    <w:p>
      <w:pPr>
        <w:spacing w:line="276" w:lineRule="auto"/>
        <w:jc w:val="center"/>
        <w:rPr>
          <w:rFonts w:hint="eastAsia" w:ascii="宋体" w:hAnsi="宋体"/>
          <w:color w:val="auto"/>
        </w:rPr>
      </w:pPr>
      <w:r>
        <w:rPr>
          <w:rFonts w:hint="eastAsia" w:ascii="宋体" w:hAnsi="宋体"/>
          <w:color w:val="auto"/>
        </w:rPr>
        <w:t>残疾人福利性单位声明函</w:t>
      </w:r>
    </w:p>
    <w:p>
      <w:pPr>
        <w:tabs>
          <w:tab w:val="left" w:pos="6300"/>
        </w:tabs>
        <w:snapToGrid w:val="0"/>
        <w:spacing w:line="276" w:lineRule="auto"/>
        <w:ind w:firstLine="420" w:firstLineChars="200"/>
        <w:rPr>
          <w:rFonts w:hint="eastAsia" w:ascii="宋体" w:hAnsi="宋体"/>
          <w:color w:val="auto"/>
          <w:sz w:val="21"/>
          <w:szCs w:val="21"/>
        </w:rPr>
      </w:pPr>
      <w:r>
        <w:rPr>
          <w:rFonts w:hint="eastAsia" w:ascii="宋体" w:hAnsi="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276" w:lineRule="auto"/>
        <w:ind w:firstLine="420" w:firstLineChars="200"/>
        <w:rPr>
          <w:rFonts w:hint="eastAsia" w:ascii="宋体" w:hAnsi="宋体"/>
          <w:color w:val="auto"/>
          <w:sz w:val="21"/>
          <w:szCs w:val="21"/>
        </w:rPr>
      </w:pPr>
      <w:r>
        <w:rPr>
          <w:rFonts w:hint="eastAsia" w:ascii="宋体" w:hAnsi="宋体"/>
          <w:color w:val="auto"/>
          <w:sz w:val="21"/>
          <w:szCs w:val="21"/>
        </w:rPr>
        <w:t>本单位对上述声明的真实性负责。如有虚假，将依法承担相应责任。</w:t>
      </w:r>
    </w:p>
    <w:p>
      <w:pPr>
        <w:tabs>
          <w:tab w:val="left" w:pos="6300"/>
        </w:tabs>
        <w:snapToGrid w:val="0"/>
        <w:spacing w:line="276" w:lineRule="auto"/>
        <w:ind w:firstLine="420" w:firstLineChars="200"/>
        <w:rPr>
          <w:rFonts w:hint="eastAsia" w:ascii="宋体" w:hAnsi="宋体"/>
          <w:color w:val="auto"/>
          <w:sz w:val="21"/>
          <w:szCs w:val="21"/>
        </w:rPr>
      </w:pPr>
    </w:p>
    <w:p>
      <w:pPr>
        <w:tabs>
          <w:tab w:val="left" w:pos="6300"/>
        </w:tabs>
        <w:snapToGrid w:val="0"/>
        <w:spacing w:line="276" w:lineRule="auto"/>
        <w:ind w:firstLine="420" w:firstLineChars="200"/>
        <w:rPr>
          <w:rFonts w:hint="eastAsia" w:ascii="宋体" w:hAnsi="宋体"/>
          <w:color w:val="auto"/>
          <w:sz w:val="21"/>
          <w:szCs w:val="21"/>
        </w:rPr>
      </w:pPr>
    </w:p>
    <w:p>
      <w:pPr>
        <w:tabs>
          <w:tab w:val="left" w:pos="6300"/>
        </w:tabs>
        <w:snapToGrid w:val="0"/>
        <w:spacing w:line="276" w:lineRule="auto"/>
        <w:ind w:firstLine="420" w:firstLineChars="200"/>
        <w:rPr>
          <w:rFonts w:hint="eastAsia" w:ascii="宋体" w:hAnsi="宋体"/>
          <w:color w:val="auto"/>
          <w:sz w:val="21"/>
          <w:szCs w:val="21"/>
        </w:rPr>
      </w:pPr>
      <w:r>
        <w:rPr>
          <w:rFonts w:hint="eastAsia" w:ascii="宋体" w:hAnsi="宋体"/>
          <w:color w:val="auto"/>
          <w:sz w:val="21"/>
          <w:szCs w:val="21"/>
        </w:rPr>
        <w:t xml:space="preserve">                                                  投标人名称（盖章）：</w:t>
      </w:r>
    </w:p>
    <w:p>
      <w:pPr>
        <w:tabs>
          <w:tab w:val="left" w:pos="6300"/>
        </w:tabs>
        <w:snapToGrid w:val="0"/>
        <w:spacing w:line="276" w:lineRule="auto"/>
        <w:ind w:firstLine="570"/>
        <w:jc w:val="left"/>
        <w:rPr>
          <w:rFonts w:hint="eastAsia" w:ascii="宋体" w:hAnsi="宋体"/>
          <w:color w:val="auto"/>
          <w:sz w:val="21"/>
          <w:szCs w:val="21"/>
        </w:rPr>
      </w:pPr>
      <w:r>
        <w:rPr>
          <w:rFonts w:hint="eastAsia" w:ascii="宋体" w:hAnsi="宋体"/>
          <w:color w:val="auto"/>
          <w:sz w:val="21"/>
          <w:szCs w:val="21"/>
        </w:rPr>
        <w:t xml:space="preserve">                                                  日  期：</w:t>
      </w: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tabs>
          <w:tab w:val="left" w:pos="6300"/>
        </w:tabs>
        <w:snapToGrid w:val="0"/>
        <w:spacing w:line="276" w:lineRule="auto"/>
        <w:ind w:firstLine="570"/>
        <w:jc w:val="left"/>
        <w:rPr>
          <w:rFonts w:hint="eastAsia" w:ascii="宋体" w:hAnsi="宋体"/>
          <w:color w:val="auto"/>
        </w:rPr>
      </w:pPr>
    </w:p>
    <w:p>
      <w:pPr>
        <w:spacing w:line="276" w:lineRule="auto"/>
        <w:rPr>
          <w:rFonts w:hint="eastAsia" w:ascii="宋体" w:hAnsi="宋体"/>
          <w:color w:val="auto"/>
        </w:rPr>
      </w:pPr>
      <w:r>
        <w:rPr>
          <w:rFonts w:hint="eastAsia" w:ascii="宋体" w:hAnsi="宋体"/>
          <w:color w:val="auto"/>
        </w:rPr>
        <w:t>（二）其他与项目有关的资料（自附）</w:t>
      </w:r>
    </w:p>
    <w:p>
      <w:pPr>
        <w:tabs>
          <w:tab w:val="left" w:pos="6300"/>
        </w:tabs>
        <w:snapToGrid w:val="0"/>
        <w:spacing w:line="276" w:lineRule="auto"/>
        <w:ind w:firstLine="570"/>
        <w:jc w:val="left"/>
        <w:rPr>
          <w:rFonts w:hint="eastAsia" w:ascii="宋体" w:hAnsi="宋体"/>
          <w:color w:val="auto"/>
          <w:sz w:val="24"/>
        </w:rPr>
      </w:pPr>
    </w:p>
    <w:p>
      <w:pPr>
        <w:tabs>
          <w:tab w:val="left" w:pos="6300"/>
        </w:tabs>
        <w:snapToGrid w:val="0"/>
        <w:spacing w:line="276" w:lineRule="auto"/>
        <w:ind w:firstLine="570"/>
        <w:jc w:val="left"/>
        <w:rPr>
          <w:rFonts w:hint="eastAsia" w:ascii="宋体" w:hAnsi="宋体"/>
          <w:color w:val="auto"/>
          <w:sz w:val="24"/>
        </w:rPr>
      </w:pPr>
    </w:p>
    <w:p>
      <w:pPr>
        <w:tabs>
          <w:tab w:val="left" w:pos="6300"/>
        </w:tabs>
        <w:snapToGrid w:val="0"/>
        <w:spacing w:line="276" w:lineRule="auto"/>
        <w:ind w:firstLine="570"/>
        <w:jc w:val="left"/>
        <w:rPr>
          <w:rFonts w:hint="eastAsia" w:ascii="宋体" w:hAnsi="宋体"/>
          <w:color w:val="auto"/>
          <w:sz w:val="24"/>
        </w:rPr>
      </w:pPr>
    </w:p>
    <w:p>
      <w:pPr>
        <w:tabs>
          <w:tab w:val="left" w:pos="6300"/>
        </w:tabs>
        <w:snapToGrid w:val="0"/>
        <w:spacing w:line="276" w:lineRule="auto"/>
        <w:ind w:firstLine="570"/>
        <w:jc w:val="left"/>
        <w:rPr>
          <w:rFonts w:hint="eastAsia" w:ascii="宋体" w:hAnsi="宋体"/>
          <w:color w:val="auto"/>
          <w:sz w:val="24"/>
        </w:rPr>
      </w:pPr>
    </w:p>
    <w:p>
      <w:pPr>
        <w:tabs>
          <w:tab w:val="left" w:pos="6300"/>
        </w:tabs>
        <w:snapToGrid w:val="0"/>
        <w:spacing w:line="276" w:lineRule="auto"/>
        <w:ind w:firstLine="570"/>
        <w:jc w:val="left"/>
        <w:rPr>
          <w:rFonts w:hint="eastAsia" w:ascii="宋体" w:hAnsi="宋体"/>
          <w:color w:val="auto"/>
          <w:sz w:val="24"/>
        </w:rPr>
      </w:pPr>
    </w:p>
    <w:p>
      <w:pPr>
        <w:tabs>
          <w:tab w:val="left" w:pos="6300"/>
        </w:tabs>
        <w:snapToGrid w:val="0"/>
        <w:spacing w:line="276" w:lineRule="auto"/>
        <w:ind w:firstLine="570"/>
        <w:jc w:val="left"/>
        <w:rPr>
          <w:rFonts w:hint="eastAsia" w:ascii="宋体" w:hAnsi="宋体"/>
          <w:color w:val="auto"/>
          <w:sz w:val="24"/>
        </w:rPr>
      </w:pPr>
    </w:p>
    <w:p>
      <w:pPr>
        <w:tabs>
          <w:tab w:val="left" w:pos="6300"/>
        </w:tabs>
        <w:snapToGrid w:val="0"/>
        <w:spacing w:line="276" w:lineRule="auto"/>
        <w:ind w:firstLine="570"/>
        <w:jc w:val="left"/>
        <w:rPr>
          <w:rFonts w:hint="eastAsia" w:ascii="宋体" w:hAnsi="宋体"/>
          <w:color w:val="auto"/>
          <w:sz w:val="24"/>
        </w:rPr>
      </w:pPr>
    </w:p>
    <w:p>
      <w:pPr>
        <w:tabs>
          <w:tab w:val="left" w:pos="6300"/>
        </w:tabs>
        <w:snapToGrid w:val="0"/>
        <w:spacing w:line="276" w:lineRule="auto"/>
        <w:jc w:val="center"/>
        <w:rPr>
          <w:rFonts w:hint="eastAsia" w:ascii="宋体" w:hAnsi="宋体"/>
          <w:color w:val="auto"/>
        </w:rPr>
      </w:pPr>
      <w:r>
        <w:rPr>
          <w:rFonts w:hint="eastAsia" w:ascii="宋体" w:hAnsi="宋体"/>
          <w:color w:val="auto"/>
        </w:rPr>
        <w:t>（结束）</w:t>
      </w:r>
    </w:p>
    <w:sectPr>
      <w:headerReference r:id="rId9" w:type="default"/>
      <w:footerReference r:id="rId10"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_x000B__x000C_">
    <w:altName w:val="Times New Roman"/>
    <w:panose1 w:val="00000000000000000000"/>
    <w:charset w:val="00"/>
    <w:family w:val="roman"/>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文鼎粗黑">
    <w:altName w:val="宋体"/>
    <w:panose1 w:val="020B060901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roma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sz w:val="24"/>
      </w:rPr>
    </w:pPr>
    <w:r>
      <w:rPr>
        <w:sz w:val="24"/>
      </w:rPr>
      <w:fldChar w:fldCharType="begin"/>
    </w:r>
    <w:r>
      <w:rPr>
        <w:rStyle w:val="62"/>
        <w:sz w:val="24"/>
      </w:rPr>
      <w:instrText xml:space="preserve"> PAGE </w:instrText>
    </w:r>
    <w:r>
      <w:rPr>
        <w:sz w:val="24"/>
      </w:rPr>
      <w:fldChar w:fldCharType="separate"/>
    </w:r>
    <w:r>
      <w:rPr>
        <w:rStyle w:val="62"/>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2"/>
      </w:rPr>
      <w:instrText xml:space="preserve"> PAGE </w:instrText>
    </w:r>
    <w:r>
      <w:fldChar w:fldCharType="separate"/>
    </w:r>
    <w:r>
      <w:rPr>
        <w:rStyle w:val="62"/>
      </w:rPr>
      <w:t>- 34 -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single" w:color="auto" w:sz="4" w:space="1"/>
      </w:pBdr>
      <w:jc w:val="left"/>
      <w:rPr>
        <w:rFonts w:hint="eastAsia" w:ascii="方正仿宋_GBK" w:eastAsia="方正仿宋_GBK"/>
        <w:sz w:val="21"/>
        <w:szCs w:val="24"/>
      </w:rPr>
    </w:pPr>
    <w:r>
      <w:rPr>
        <w:rFonts w:hint="eastAsia" w:ascii="方正仿宋_GBK" w:eastAsia="方正仿宋_GBK"/>
        <w:sz w:val="21"/>
        <w:szCs w:val="24"/>
      </w:rPr>
      <w:t>重庆市第九人民医院                                                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hint="eastAsia" w:ascii="方正仿宋_GBK" w:eastAsia="方正仿宋_GBK"/>
        <w:sz w:val="21"/>
        <w:szCs w:val="21"/>
      </w:rPr>
    </w:pPr>
    <w:r>
      <w:rPr>
        <w:rFonts w:hint="eastAsia" w:ascii="方正仿宋_GBK" w:eastAsia="方正仿宋_GBK"/>
        <w:sz w:val="21"/>
        <w:szCs w:val="24"/>
      </w:rPr>
      <w:t xml:space="preserve">重庆市第九人民医院 </w:t>
    </w:r>
    <w:r>
      <w:rPr>
        <w:rFonts w:hint="eastAsia" w:ascii="方正仿宋_GBK" w:eastAsia="方正仿宋_GBK"/>
        <w:sz w:val="21"/>
        <w:szCs w:val="21"/>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309AF"/>
    <w:multiLevelType w:val="singleLevel"/>
    <w:tmpl w:val="820309AF"/>
    <w:lvl w:ilvl="0" w:tentative="0">
      <w:start w:val="1"/>
      <w:numFmt w:val="decimal"/>
      <w:suff w:val="nothing"/>
      <w:lvlText w:val="%1、"/>
      <w:lvlJc w:val="left"/>
      <w:pPr>
        <w:ind w:left="-148"/>
      </w:pPr>
    </w:lvl>
  </w:abstractNum>
  <w:abstractNum w:abstractNumId="1">
    <w:nsid w:val="9CC15237"/>
    <w:multiLevelType w:val="singleLevel"/>
    <w:tmpl w:val="9CC15237"/>
    <w:lvl w:ilvl="0" w:tentative="0">
      <w:start w:val="2"/>
      <w:numFmt w:val="decimal"/>
      <w:suff w:val="nothing"/>
      <w:lvlText w:val="%1、"/>
      <w:lvlJc w:val="left"/>
    </w:lvl>
  </w:abstractNum>
  <w:abstractNum w:abstractNumId="2">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3">
    <w:nsid w:val="00000005"/>
    <w:multiLevelType w:val="multilevel"/>
    <w:tmpl w:val="00000005"/>
    <w:lvl w:ilvl="0" w:tentative="0">
      <w:start w:val="1"/>
      <w:numFmt w:val="bullet"/>
      <w:pStyle w:val="115"/>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5">
    <w:nsid w:val="00000007"/>
    <w:multiLevelType w:val="multilevel"/>
    <w:tmpl w:val="00000007"/>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1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A"/>
    <w:multiLevelType w:val="multilevel"/>
    <w:tmpl w:val="0000000A"/>
    <w:lvl w:ilvl="0" w:tentative="0">
      <w:start w:val="8"/>
      <w:numFmt w:val="decimal"/>
      <w:pStyle w:val="189"/>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36"/>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3"/>
    <w:multiLevelType w:val="multilevel"/>
    <w:tmpl w:val="00000013"/>
    <w:lvl w:ilvl="0" w:tentative="0">
      <w:start w:val="1"/>
      <w:numFmt w:val="bullet"/>
      <w:pStyle w:val="1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00000014"/>
    <w:multiLevelType w:val="multilevel"/>
    <w:tmpl w:val="00000014"/>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5"/>
    <w:multiLevelType w:val="multilevel"/>
    <w:tmpl w:val="00000015"/>
    <w:lvl w:ilvl="0" w:tentative="0">
      <w:start w:val="1"/>
      <w:numFmt w:val="decimal"/>
      <w:pStyle w:val="186"/>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6"/>
    <w:multiLevelType w:val="singleLevel"/>
    <w:tmpl w:val="00000016"/>
    <w:lvl w:ilvl="0" w:tentative="0">
      <w:start w:val="1"/>
      <w:numFmt w:val="bullet"/>
      <w:pStyle w:val="163"/>
      <w:lvlText w:val=""/>
      <w:lvlJc w:val="left"/>
      <w:pPr>
        <w:tabs>
          <w:tab w:val="left" w:pos="360"/>
        </w:tabs>
        <w:ind w:left="360" w:hanging="360"/>
      </w:pPr>
      <w:rPr>
        <w:rFonts w:hint="default" w:ascii="Wingdings" w:hAnsi="Wingdings"/>
      </w:rPr>
    </w:lvl>
  </w:abstractNum>
  <w:abstractNum w:abstractNumId="13">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4">
    <w:nsid w:val="00000019"/>
    <w:multiLevelType w:val="singleLevel"/>
    <w:tmpl w:val="00000019"/>
    <w:lvl w:ilvl="0" w:tentative="0">
      <w:start w:val="1"/>
      <w:numFmt w:val="decimal"/>
      <w:pStyle w:val="152"/>
      <w:lvlText w:val="%1)"/>
      <w:lvlJc w:val="left"/>
      <w:pPr>
        <w:tabs>
          <w:tab w:val="left" w:pos="425"/>
        </w:tabs>
        <w:ind w:left="425" w:hanging="425"/>
      </w:pPr>
      <w:rPr>
        <w:rFonts w:hint="eastAsia"/>
      </w:rPr>
    </w:lvl>
  </w:abstractNum>
  <w:abstractNum w:abstractNumId="15">
    <w:nsid w:val="0000001A"/>
    <w:multiLevelType w:val="multilevel"/>
    <w:tmpl w:val="0000001A"/>
    <w:lvl w:ilvl="0" w:tentative="0">
      <w:start w:val="1"/>
      <w:numFmt w:val="decimal"/>
      <w:pStyle w:val="9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D"/>
    <w:multiLevelType w:val="multilevel"/>
    <w:tmpl w:val="0000001D"/>
    <w:lvl w:ilvl="0" w:tentative="0">
      <w:start w:val="1"/>
      <w:numFmt w:val="chineseCountingThousand"/>
      <w:pStyle w:val="17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50B7BF6"/>
    <w:multiLevelType w:val="multilevel"/>
    <w:tmpl w:val="450B7BF6"/>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46EA3A"/>
    <w:multiLevelType w:val="singleLevel"/>
    <w:tmpl w:val="5346EA3A"/>
    <w:lvl w:ilvl="0" w:tentative="0">
      <w:start w:val="2"/>
      <w:numFmt w:val="chineseCounting"/>
      <w:suff w:val="nothing"/>
      <w:lvlText w:val="%1、"/>
      <w:lvlJc w:val="left"/>
      <w:rPr>
        <w:rFonts w:hint="eastAsia"/>
      </w:rPr>
    </w:lvl>
  </w:abstractNum>
  <w:abstractNum w:abstractNumId="19">
    <w:nsid w:val="577A22FA"/>
    <w:multiLevelType w:val="singleLevel"/>
    <w:tmpl w:val="577A22FA"/>
    <w:lvl w:ilvl="0" w:tentative="0">
      <w:start w:val="2"/>
      <w:numFmt w:val="chineseCounting"/>
      <w:suff w:val="nothing"/>
      <w:lvlText w:val="（%1）"/>
      <w:lvlJc w:val="left"/>
    </w:lvl>
  </w:abstractNum>
  <w:abstractNum w:abstractNumId="20">
    <w:nsid w:val="57C00750"/>
    <w:multiLevelType w:val="singleLevel"/>
    <w:tmpl w:val="57C00750"/>
    <w:lvl w:ilvl="0" w:tentative="0">
      <w:start w:val="1"/>
      <w:numFmt w:val="chineseCounting"/>
      <w:suff w:val="nothing"/>
      <w:lvlText w:val="（%1）"/>
      <w:lvlJc w:val="left"/>
    </w:lvl>
  </w:abstractNum>
  <w:num w:numId="1">
    <w:abstractNumId w:val="17"/>
  </w:num>
  <w:num w:numId="2">
    <w:abstractNumId w:val="2"/>
  </w:num>
  <w:num w:numId="3">
    <w:abstractNumId w:val="4"/>
  </w:num>
  <w:num w:numId="4">
    <w:abstractNumId w:val="13"/>
  </w:num>
  <w:num w:numId="5">
    <w:abstractNumId w:val="8"/>
  </w:num>
  <w:num w:numId="6">
    <w:abstractNumId w:val="15"/>
  </w:num>
  <w:num w:numId="7">
    <w:abstractNumId w:val="3"/>
  </w:num>
  <w:num w:numId="8">
    <w:abstractNumId w:val="6"/>
  </w:num>
  <w:num w:numId="9">
    <w:abstractNumId w:val="9"/>
  </w:num>
  <w:num w:numId="10">
    <w:abstractNumId w:val="7"/>
  </w:num>
  <w:num w:numId="11">
    <w:abstractNumId w:val="14"/>
  </w:num>
  <w:num w:numId="12">
    <w:abstractNumId w:val="12"/>
  </w:num>
  <w:num w:numId="13">
    <w:abstractNumId w:val="5"/>
  </w:num>
  <w:num w:numId="14">
    <w:abstractNumId w:val="16"/>
  </w:num>
  <w:num w:numId="15">
    <w:abstractNumId w:val="11"/>
  </w:num>
  <w:num w:numId="16">
    <w:abstractNumId w:val="10"/>
  </w:num>
  <w:num w:numId="17">
    <w:abstractNumId w:val="1"/>
  </w:num>
  <w:num w:numId="18">
    <w:abstractNumId w:val="18"/>
  </w:num>
  <w:num w:numId="19">
    <w:abstractNumId w:val="0"/>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52"/>
    <w:rsid w:val="00006772"/>
    <w:rsid w:val="000072F0"/>
    <w:rsid w:val="00011974"/>
    <w:rsid w:val="00011AF1"/>
    <w:rsid w:val="000159CA"/>
    <w:rsid w:val="00021946"/>
    <w:rsid w:val="00025013"/>
    <w:rsid w:val="000266A1"/>
    <w:rsid w:val="00034A67"/>
    <w:rsid w:val="00036148"/>
    <w:rsid w:val="0003767C"/>
    <w:rsid w:val="000376BA"/>
    <w:rsid w:val="00042250"/>
    <w:rsid w:val="00043311"/>
    <w:rsid w:val="00047EC0"/>
    <w:rsid w:val="00056058"/>
    <w:rsid w:val="00060807"/>
    <w:rsid w:val="00060E35"/>
    <w:rsid w:val="0006572E"/>
    <w:rsid w:val="00067E6F"/>
    <w:rsid w:val="00075520"/>
    <w:rsid w:val="000946BD"/>
    <w:rsid w:val="00094D91"/>
    <w:rsid w:val="000A1394"/>
    <w:rsid w:val="000A2529"/>
    <w:rsid w:val="000A5589"/>
    <w:rsid w:val="000A6C5F"/>
    <w:rsid w:val="000B2716"/>
    <w:rsid w:val="000C2017"/>
    <w:rsid w:val="000C44E3"/>
    <w:rsid w:val="000E43DC"/>
    <w:rsid w:val="000F16AA"/>
    <w:rsid w:val="000F176A"/>
    <w:rsid w:val="00100D7A"/>
    <w:rsid w:val="001103D7"/>
    <w:rsid w:val="00110AA3"/>
    <w:rsid w:val="0011194D"/>
    <w:rsid w:val="00124CAB"/>
    <w:rsid w:val="00135250"/>
    <w:rsid w:val="001407F6"/>
    <w:rsid w:val="00146F1F"/>
    <w:rsid w:val="001528E5"/>
    <w:rsid w:val="00154A37"/>
    <w:rsid w:val="001572A0"/>
    <w:rsid w:val="00161645"/>
    <w:rsid w:val="00173A9E"/>
    <w:rsid w:val="001767A8"/>
    <w:rsid w:val="00177752"/>
    <w:rsid w:val="00184668"/>
    <w:rsid w:val="001864B0"/>
    <w:rsid w:val="001A0940"/>
    <w:rsid w:val="001C7048"/>
    <w:rsid w:val="001C7A41"/>
    <w:rsid w:val="001D3080"/>
    <w:rsid w:val="001D3B7E"/>
    <w:rsid w:val="001D3BF8"/>
    <w:rsid w:val="001E2993"/>
    <w:rsid w:val="001E4F32"/>
    <w:rsid w:val="001F2848"/>
    <w:rsid w:val="001F2B77"/>
    <w:rsid w:val="00202508"/>
    <w:rsid w:val="00217C0F"/>
    <w:rsid w:val="00221927"/>
    <w:rsid w:val="00223B03"/>
    <w:rsid w:val="002259B2"/>
    <w:rsid w:val="00225AEE"/>
    <w:rsid w:val="0022711C"/>
    <w:rsid w:val="00233AFE"/>
    <w:rsid w:val="002435D0"/>
    <w:rsid w:val="00243F8F"/>
    <w:rsid w:val="00250A90"/>
    <w:rsid w:val="00252999"/>
    <w:rsid w:val="0025308A"/>
    <w:rsid w:val="002551FA"/>
    <w:rsid w:val="00255554"/>
    <w:rsid w:val="0025601D"/>
    <w:rsid w:val="00257FF1"/>
    <w:rsid w:val="00262267"/>
    <w:rsid w:val="00262E5F"/>
    <w:rsid w:val="00263F00"/>
    <w:rsid w:val="00264A68"/>
    <w:rsid w:val="0028066C"/>
    <w:rsid w:val="00281064"/>
    <w:rsid w:val="00281C26"/>
    <w:rsid w:val="002833CF"/>
    <w:rsid w:val="00286CB3"/>
    <w:rsid w:val="0029022C"/>
    <w:rsid w:val="00293E38"/>
    <w:rsid w:val="002942B8"/>
    <w:rsid w:val="002A0576"/>
    <w:rsid w:val="002A07E2"/>
    <w:rsid w:val="002B26F0"/>
    <w:rsid w:val="002B552B"/>
    <w:rsid w:val="002C6836"/>
    <w:rsid w:val="002C7F2B"/>
    <w:rsid w:val="002D2F75"/>
    <w:rsid w:val="002E0FB6"/>
    <w:rsid w:val="002E1597"/>
    <w:rsid w:val="002E2816"/>
    <w:rsid w:val="002E41DF"/>
    <w:rsid w:val="002E6AC4"/>
    <w:rsid w:val="002E6DFA"/>
    <w:rsid w:val="002F1086"/>
    <w:rsid w:val="002F5829"/>
    <w:rsid w:val="002F5EEF"/>
    <w:rsid w:val="00301076"/>
    <w:rsid w:val="00316DF2"/>
    <w:rsid w:val="003231A8"/>
    <w:rsid w:val="00324C21"/>
    <w:rsid w:val="00331597"/>
    <w:rsid w:val="00342497"/>
    <w:rsid w:val="00344FF3"/>
    <w:rsid w:val="00353E41"/>
    <w:rsid w:val="00370BF4"/>
    <w:rsid w:val="0037169E"/>
    <w:rsid w:val="003716A5"/>
    <w:rsid w:val="00376B12"/>
    <w:rsid w:val="00383C9F"/>
    <w:rsid w:val="0038635F"/>
    <w:rsid w:val="003902F6"/>
    <w:rsid w:val="003A37BE"/>
    <w:rsid w:val="003A4636"/>
    <w:rsid w:val="003B2F40"/>
    <w:rsid w:val="003C3995"/>
    <w:rsid w:val="003D0992"/>
    <w:rsid w:val="003D1F45"/>
    <w:rsid w:val="003D229C"/>
    <w:rsid w:val="003E191C"/>
    <w:rsid w:val="003E316B"/>
    <w:rsid w:val="003E5E95"/>
    <w:rsid w:val="003E699F"/>
    <w:rsid w:val="003F2CFF"/>
    <w:rsid w:val="003F5BC7"/>
    <w:rsid w:val="003F7CE2"/>
    <w:rsid w:val="0040154D"/>
    <w:rsid w:val="0040799A"/>
    <w:rsid w:val="00410D92"/>
    <w:rsid w:val="00411C41"/>
    <w:rsid w:val="004157DD"/>
    <w:rsid w:val="00415899"/>
    <w:rsid w:val="00415D11"/>
    <w:rsid w:val="00422860"/>
    <w:rsid w:val="00425B08"/>
    <w:rsid w:val="00431B48"/>
    <w:rsid w:val="00432DE8"/>
    <w:rsid w:val="00442474"/>
    <w:rsid w:val="0044361E"/>
    <w:rsid w:val="0045181E"/>
    <w:rsid w:val="00452670"/>
    <w:rsid w:val="00454511"/>
    <w:rsid w:val="0045590E"/>
    <w:rsid w:val="00465257"/>
    <w:rsid w:val="00475385"/>
    <w:rsid w:val="0047562B"/>
    <w:rsid w:val="00475E0F"/>
    <w:rsid w:val="00481CD4"/>
    <w:rsid w:val="0048396B"/>
    <w:rsid w:val="00485174"/>
    <w:rsid w:val="00487CDA"/>
    <w:rsid w:val="004978F0"/>
    <w:rsid w:val="004A0052"/>
    <w:rsid w:val="004A02B1"/>
    <w:rsid w:val="004A263F"/>
    <w:rsid w:val="004B1497"/>
    <w:rsid w:val="004B4538"/>
    <w:rsid w:val="004B6CA6"/>
    <w:rsid w:val="004B709B"/>
    <w:rsid w:val="004B7FE0"/>
    <w:rsid w:val="004C1FC5"/>
    <w:rsid w:val="004C2A6E"/>
    <w:rsid w:val="004D009E"/>
    <w:rsid w:val="004D0D5D"/>
    <w:rsid w:val="004D6700"/>
    <w:rsid w:val="004E257E"/>
    <w:rsid w:val="005016D9"/>
    <w:rsid w:val="00502629"/>
    <w:rsid w:val="00511323"/>
    <w:rsid w:val="00513CBD"/>
    <w:rsid w:val="00525E4A"/>
    <w:rsid w:val="00537C42"/>
    <w:rsid w:val="00541231"/>
    <w:rsid w:val="00545C00"/>
    <w:rsid w:val="00546C36"/>
    <w:rsid w:val="00550BEB"/>
    <w:rsid w:val="0055311C"/>
    <w:rsid w:val="00562B13"/>
    <w:rsid w:val="00562EFE"/>
    <w:rsid w:val="005645D3"/>
    <w:rsid w:val="00566CBB"/>
    <w:rsid w:val="00575BED"/>
    <w:rsid w:val="00577CDB"/>
    <w:rsid w:val="00587496"/>
    <w:rsid w:val="005A18A4"/>
    <w:rsid w:val="005A3BEE"/>
    <w:rsid w:val="005A6846"/>
    <w:rsid w:val="005B1105"/>
    <w:rsid w:val="005B1829"/>
    <w:rsid w:val="005B5D00"/>
    <w:rsid w:val="005C3185"/>
    <w:rsid w:val="005C4345"/>
    <w:rsid w:val="005D2F52"/>
    <w:rsid w:val="005E117E"/>
    <w:rsid w:val="005E12B4"/>
    <w:rsid w:val="005E7B12"/>
    <w:rsid w:val="005F17F3"/>
    <w:rsid w:val="005F363C"/>
    <w:rsid w:val="005F51F8"/>
    <w:rsid w:val="005F5262"/>
    <w:rsid w:val="005F65A7"/>
    <w:rsid w:val="00600DF2"/>
    <w:rsid w:val="00601283"/>
    <w:rsid w:val="006016E0"/>
    <w:rsid w:val="00601F42"/>
    <w:rsid w:val="006021ED"/>
    <w:rsid w:val="0060469C"/>
    <w:rsid w:val="00606AF8"/>
    <w:rsid w:val="00612C1F"/>
    <w:rsid w:val="0061386E"/>
    <w:rsid w:val="00616EC6"/>
    <w:rsid w:val="00624833"/>
    <w:rsid w:val="0062622B"/>
    <w:rsid w:val="006275D7"/>
    <w:rsid w:val="00631483"/>
    <w:rsid w:val="006341BD"/>
    <w:rsid w:val="00636C1F"/>
    <w:rsid w:val="006456C7"/>
    <w:rsid w:val="00653FC4"/>
    <w:rsid w:val="006558D7"/>
    <w:rsid w:val="00655CB3"/>
    <w:rsid w:val="00661A58"/>
    <w:rsid w:val="006661A4"/>
    <w:rsid w:val="0066764A"/>
    <w:rsid w:val="006732AF"/>
    <w:rsid w:val="00675735"/>
    <w:rsid w:val="00675E52"/>
    <w:rsid w:val="006800A2"/>
    <w:rsid w:val="00680CC4"/>
    <w:rsid w:val="00680EEC"/>
    <w:rsid w:val="0068367F"/>
    <w:rsid w:val="00687999"/>
    <w:rsid w:val="00692295"/>
    <w:rsid w:val="00696EEA"/>
    <w:rsid w:val="006A0B45"/>
    <w:rsid w:val="006A3DC1"/>
    <w:rsid w:val="006A5644"/>
    <w:rsid w:val="006A71EB"/>
    <w:rsid w:val="006B1991"/>
    <w:rsid w:val="006B3BCB"/>
    <w:rsid w:val="006B446F"/>
    <w:rsid w:val="006C2CB1"/>
    <w:rsid w:val="006C32BC"/>
    <w:rsid w:val="006C4663"/>
    <w:rsid w:val="006D7125"/>
    <w:rsid w:val="006E016E"/>
    <w:rsid w:val="006E2F2B"/>
    <w:rsid w:val="006F1439"/>
    <w:rsid w:val="006F1A60"/>
    <w:rsid w:val="006F7B0F"/>
    <w:rsid w:val="00701E8B"/>
    <w:rsid w:val="0070237A"/>
    <w:rsid w:val="007070E3"/>
    <w:rsid w:val="007101F0"/>
    <w:rsid w:val="007203A8"/>
    <w:rsid w:val="00727EA4"/>
    <w:rsid w:val="00736BA5"/>
    <w:rsid w:val="00736DED"/>
    <w:rsid w:val="007440E6"/>
    <w:rsid w:val="007445DB"/>
    <w:rsid w:val="00751BD7"/>
    <w:rsid w:val="00754077"/>
    <w:rsid w:val="00757139"/>
    <w:rsid w:val="007604C1"/>
    <w:rsid w:val="007613AA"/>
    <w:rsid w:val="007615A8"/>
    <w:rsid w:val="00761E7F"/>
    <w:rsid w:val="007629D1"/>
    <w:rsid w:val="00763937"/>
    <w:rsid w:val="007641FC"/>
    <w:rsid w:val="00765791"/>
    <w:rsid w:val="00770A1E"/>
    <w:rsid w:val="00771D5C"/>
    <w:rsid w:val="00774817"/>
    <w:rsid w:val="0077586D"/>
    <w:rsid w:val="00781E90"/>
    <w:rsid w:val="007843B7"/>
    <w:rsid w:val="007977A7"/>
    <w:rsid w:val="007A1958"/>
    <w:rsid w:val="007A1D16"/>
    <w:rsid w:val="007A2E91"/>
    <w:rsid w:val="007A4D8F"/>
    <w:rsid w:val="007B08DC"/>
    <w:rsid w:val="007D06F0"/>
    <w:rsid w:val="007D5328"/>
    <w:rsid w:val="007E0FF7"/>
    <w:rsid w:val="007E7604"/>
    <w:rsid w:val="007F13DC"/>
    <w:rsid w:val="007F396F"/>
    <w:rsid w:val="007F3ED7"/>
    <w:rsid w:val="007F4475"/>
    <w:rsid w:val="0080008F"/>
    <w:rsid w:val="00813DCB"/>
    <w:rsid w:val="00823323"/>
    <w:rsid w:val="00836907"/>
    <w:rsid w:val="00837E7E"/>
    <w:rsid w:val="00846835"/>
    <w:rsid w:val="00850495"/>
    <w:rsid w:val="00860FA0"/>
    <w:rsid w:val="00872165"/>
    <w:rsid w:val="00872BD9"/>
    <w:rsid w:val="00872CE0"/>
    <w:rsid w:val="008805E7"/>
    <w:rsid w:val="008823C5"/>
    <w:rsid w:val="008847BE"/>
    <w:rsid w:val="00885CBF"/>
    <w:rsid w:val="00887F07"/>
    <w:rsid w:val="00887F44"/>
    <w:rsid w:val="008A0CEB"/>
    <w:rsid w:val="008A6283"/>
    <w:rsid w:val="008A6DB1"/>
    <w:rsid w:val="008C0317"/>
    <w:rsid w:val="008C4238"/>
    <w:rsid w:val="008C54D0"/>
    <w:rsid w:val="008C5917"/>
    <w:rsid w:val="008D2FB6"/>
    <w:rsid w:val="008D5912"/>
    <w:rsid w:val="008D5D99"/>
    <w:rsid w:val="008E19F1"/>
    <w:rsid w:val="008E4A4A"/>
    <w:rsid w:val="008E6C42"/>
    <w:rsid w:val="008F0CB3"/>
    <w:rsid w:val="008F5FE3"/>
    <w:rsid w:val="008F6B0B"/>
    <w:rsid w:val="008F7FC7"/>
    <w:rsid w:val="00906CF9"/>
    <w:rsid w:val="00907D95"/>
    <w:rsid w:val="009111F7"/>
    <w:rsid w:val="00923C4C"/>
    <w:rsid w:val="0092759C"/>
    <w:rsid w:val="00932299"/>
    <w:rsid w:val="009431CE"/>
    <w:rsid w:val="0094671D"/>
    <w:rsid w:val="00952A37"/>
    <w:rsid w:val="0095360A"/>
    <w:rsid w:val="00964785"/>
    <w:rsid w:val="00965047"/>
    <w:rsid w:val="00965D3C"/>
    <w:rsid w:val="00965F18"/>
    <w:rsid w:val="00966217"/>
    <w:rsid w:val="009704E8"/>
    <w:rsid w:val="00971130"/>
    <w:rsid w:val="00977EA2"/>
    <w:rsid w:val="009815D1"/>
    <w:rsid w:val="009847F2"/>
    <w:rsid w:val="00987348"/>
    <w:rsid w:val="009931BD"/>
    <w:rsid w:val="00993E75"/>
    <w:rsid w:val="009961AF"/>
    <w:rsid w:val="0099772A"/>
    <w:rsid w:val="00997ED7"/>
    <w:rsid w:val="009A2F0C"/>
    <w:rsid w:val="009A559F"/>
    <w:rsid w:val="009A7C4B"/>
    <w:rsid w:val="009B7144"/>
    <w:rsid w:val="009C2DEA"/>
    <w:rsid w:val="009C33FD"/>
    <w:rsid w:val="009C6566"/>
    <w:rsid w:val="009D3468"/>
    <w:rsid w:val="009D3B7C"/>
    <w:rsid w:val="009D52DD"/>
    <w:rsid w:val="009E6755"/>
    <w:rsid w:val="009E7274"/>
    <w:rsid w:val="009F3F85"/>
    <w:rsid w:val="009F56FA"/>
    <w:rsid w:val="00A05776"/>
    <w:rsid w:val="00A057F4"/>
    <w:rsid w:val="00A216BD"/>
    <w:rsid w:val="00A33DAC"/>
    <w:rsid w:val="00A348D5"/>
    <w:rsid w:val="00A35A0C"/>
    <w:rsid w:val="00A36EAF"/>
    <w:rsid w:val="00A43B02"/>
    <w:rsid w:val="00A43BFA"/>
    <w:rsid w:val="00A52466"/>
    <w:rsid w:val="00A5465E"/>
    <w:rsid w:val="00A70CFF"/>
    <w:rsid w:val="00A72DCF"/>
    <w:rsid w:val="00A819CD"/>
    <w:rsid w:val="00A845C5"/>
    <w:rsid w:val="00A84CC4"/>
    <w:rsid w:val="00A85534"/>
    <w:rsid w:val="00A85AFE"/>
    <w:rsid w:val="00A87965"/>
    <w:rsid w:val="00A918E0"/>
    <w:rsid w:val="00A96FAC"/>
    <w:rsid w:val="00AA178F"/>
    <w:rsid w:val="00AA29D5"/>
    <w:rsid w:val="00AA330A"/>
    <w:rsid w:val="00AA3559"/>
    <w:rsid w:val="00AA3A39"/>
    <w:rsid w:val="00AA3DB5"/>
    <w:rsid w:val="00AA3EA9"/>
    <w:rsid w:val="00AA5FAE"/>
    <w:rsid w:val="00AB0373"/>
    <w:rsid w:val="00AB4654"/>
    <w:rsid w:val="00AB65A4"/>
    <w:rsid w:val="00AC0D4B"/>
    <w:rsid w:val="00AC34CB"/>
    <w:rsid w:val="00AC7E13"/>
    <w:rsid w:val="00AE6D6B"/>
    <w:rsid w:val="00B02FC6"/>
    <w:rsid w:val="00B03427"/>
    <w:rsid w:val="00B07506"/>
    <w:rsid w:val="00B10447"/>
    <w:rsid w:val="00B20DE3"/>
    <w:rsid w:val="00B26989"/>
    <w:rsid w:val="00B328F6"/>
    <w:rsid w:val="00B332F8"/>
    <w:rsid w:val="00B3483C"/>
    <w:rsid w:val="00B40E48"/>
    <w:rsid w:val="00B4612D"/>
    <w:rsid w:val="00B46AE5"/>
    <w:rsid w:val="00B47211"/>
    <w:rsid w:val="00B477F3"/>
    <w:rsid w:val="00B479A2"/>
    <w:rsid w:val="00B54100"/>
    <w:rsid w:val="00B54C95"/>
    <w:rsid w:val="00B56484"/>
    <w:rsid w:val="00B61D5E"/>
    <w:rsid w:val="00B66F07"/>
    <w:rsid w:val="00B71473"/>
    <w:rsid w:val="00B744BA"/>
    <w:rsid w:val="00B74E30"/>
    <w:rsid w:val="00B82429"/>
    <w:rsid w:val="00B82C14"/>
    <w:rsid w:val="00B83E7A"/>
    <w:rsid w:val="00B86533"/>
    <w:rsid w:val="00B912AB"/>
    <w:rsid w:val="00B9347F"/>
    <w:rsid w:val="00B94DDB"/>
    <w:rsid w:val="00B964E1"/>
    <w:rsid w:val="00B977C0"/>
    <w:rsid w:val="00BA0493"/>
    <w:rsid w:val="00BA33A9"/>
    <w:rsid w:val="00BA378D"/>
    <w:rsid w:val="00BA4C26"/>
    <w:rsid w:val="00BB7049"/>
    <w:rsid w:val="00BB70B3"/>
    <w:rsid w:val="00BC1F99"/>
    <w:rsid w:val="00BC4871"/>
    <w:rsid w:val="00BC4D5D"/>
    <w:rsid w:val="00BC7CD5"/>
    <w:rsid w:val="00BD0538"/>
    <w:rsid w:val="00BD2931"/>
    <w:rsid w:val="00BD3668"/>
    <w:rsid w:val="00BD6D76"/>
    <w:rsid w:val="00BE200A"/>
    <w:rsid w:val="00BE6B62"/>
    <w:rsid w:val="00BF2AE3"/>
    <w:rsid w:val="00BF370F"/>
    <w:rsid w:val="00BF4212"/>
    <w:rsid w:val="00BF680C"/>
    <w:rsid w:val="00C11DF3"/>
    <w:rsid w:val="00C22FB5"/>
    <w:rsid w:val="00C23C59"/>
    <w:rsid w:val="00C32F0A"/>
    <w:rsid w:val="00C35F43"/>
    <w:rsid w:val="00C423BA"/>
    <w:rsid w:val="00C44FAD"/>
    <w:rsid w:val="00C45ACD"/>
    <w:rsid w:val="00C45C68"/>
    <w:rsid w:val="00C47E15"/>
    <w:rsid w:val="00C5294B"/>
    <w:rsid w:val="00C558E6"/>
    <w:rsid w:val="00C62A1C"/>
    <w:rsid w:val="00C71166"/>
    <w:rsid w:val="00C71788"/>
    <w:rsid w:val="00C74BE1"/>
    <w:rsid w:val="00C758DE"/>
    <w:rsid w:val="00C778A3"/>
    <w:rsid w:val="00C7796A"/>
    <w:rsid w:val="00C815BF"/>
    <w:rsid w:val="00C86EA5"/>
    <w:rsid w:val="00C90D26"/>
    <w:rsid w:val="00C92310"/>
    <w:rsid w:val="00C940DC"/>
    <w:rsid w:val="00C95622"/>
    <w:rsid w:val="00C97C76"/>
    <w:rsid w:val="00CA35F2"/>
    <w:rsid w:val="00CA4768"/>
    <w:rsid w:val="00CB1B17"/>
    <w:rsid w:val="00CB1D82"/>
    <w:rsid w:val="00CC658E"/>
    <w:rsid w:val="00CD07B0"/>
    <w:rsid w:val="00CD5F03"/>
    <w:rsid w:val="00CE69EB"/>
    <w:rsid w:val="00CE6A29"/>
    <w:rsid w:val="00CF7D09"/>
    <w:rsid w:val="00D00074"/>
    <w:rsid w:val="00D004DE"/>
    <w:rsid w:val="00D175E6"/>
    <w:rsid w:val="00D22402"/>
    <w:rsid w:val="00D22AD4"/>
    <w:rsid w:val="00D2387A"/>
    <w:rsid w:val="00D32E09"/>
    <w:rsid w:val="00D33903"/>
    <w:rsid w:val="00D40397"/>
    <w:rsid w:val="00D40ED4"/>
    <w:rsid w:val="00D453CC"/>
    <w:rsid w:val="00D5598F"/>
    <w:rsid w:val="00D56691"/>
    <w:rsid w:val="00D629C4"/>
    <w:rsid w:val="00D70362"/>
    <w:rsid w:val="00D72A76"/>
    <w:rsid w:val="00D74754"/>
    <w:rsid w:val="00D76DFF"/>
    <w:rsid w:val="00D771DD"/>
    <w:rsid w:val="00D93E8A"/>
    <w:rsid w:val="00D94E5F"/>
    <w:rsid w:val="00D95EF5"/>
    <w:rsid w:val="00D96D4D"/>
    <w:rsid w:val="00DA46EA"/>
    <w:rsid w:val="00DA473D"/>
    <w:rsid w:val="00DA5311"/>
    <w:rsid w:val="00DA5782"/>
    <w:rsid w:val="00DB1DD6"/>
    <w:rsid w:val="00DB361F"/>
    <w:rsid w:val="00DB4665"/>
    <w:rsid w:val="00DB54D4"/>
    <w:rsid w:val="00DB7DF8"/>
    <w:rsid w:val="00DC1093"/>
    <w:rsid w:val="00DC16CA"/>
    <w:rsid w:val="00DC663A"/>
    <w:rsid w:val="00DD0496"/>
    <w:rsid w:val="00DD16EF"/>
    <w:rsid w:val="00DD7FAD"/>
    <w:rsid w:val="00DE4E0A"/>
    <w:rsid w:val="00DE63D8"/>
    <w:rsid w:val="00DF12C8"/>
    <w:rsid w:val="00DF23D0"/>
    <w:rsid w:val="00DF3C31"/>
    <w:rsid w:val="00DF461B"/>
    <w:rsid w:val="00DF4C81"/>
    <w:rsid w:val="00E0374D"/>
    <w:rsid w:val="00E03A0F"/>
    <w:rsid w:val="00E05D84"/>
    <w:rsid w:val="00E15AE5"/>
    <w:rsid w:val="00E2587A"/>
    <w:rsid w:val="00E30B66"/>
    <w:rsid w:val="00E44CFF"/>
    <w:rsid w:val="00E5029B"/>
    <w:rsid w:val="00E60B6E"/>
    <w:rsid w:val="00E6553B"/>
    <w:rsid w:val="00E75C0B"/>
    <w:rsid w:val="00E8445E"/>
    <w:rsid w:val="00E86CBF"/>
    <w:rsid w:val="00E93790"/>
    <w:rsid w:val="00EA09A7"/>
    <w:rsid w:val="00EA229F"/>
    <w:rsid w:val="00EA5253"/>
    <w:rsid w:val="00EA6434"/>
    <w:rsid w:val="00EC4AFA"/>
    <w:rsid w:val="00EC53CC"/>
    <w:rsid w:val="00EC74B3"/>
    <w:rsid w:val="00ED146F"/>
    <w:rsid w:val="00ED3A34"/>
    <w:rsid w:val="00ED51FD"/>
    <w:rsid w:val="00EE129C"/>
    <w:rsid w:val="00EE4B26"/>
    <w:rsid w:val="00EE50D3"/>
    <w:rsid w:val="00EE6FB0"/>
    <w:rsid w:val="00EE719A"/>
    <w:rsid w:val="00EF7D65"/>
    <w:rsid w:val="00F028F2"/>
    <w:rsid w:val="00F06FCC"/>
    <w:rsid w:val="00F10392"/>
    <w:rsid w:val="00F11682"/>
    <w:rsid w:val="00F27B7B"/>
    <w:rsid w:val="00F31352"/>
    <w:rsid w:val="00F405B9"/>
    <w:rsid w:val="00F5045C"/>
    <w:rsid w:val="00F509FB"/>
    <w:rsid w:val="00F753A8"/>
    <w:rsid w:val="00F7735B"/>
    <w:rsid w:val="00F822DB"/>
    <w:rsid w:val="00F830A4"/>
    <w:rsid w:val="00F91170"/>
    <w:rsid w:val="00FA422E"/>
    <w:rsid w:val="00FA65AC"/>
    <w:rsid w:val="00FA72B1"/>
    <w:rsid w:val="00FB26B3"/>
    <w:rsid w:val="00FB7965"/>
    <w:rsid w:val="00FC059C"/>
    <w:rsid w:val="00FC10F7"/>
    <w:rsid w:val="00FC6A7B"/>
    <w:rsid w:val="00FD5C43"/>
    <w:rsid w:val="00FD6624"/>
    <w:rsid w:val="00FE5C85"/>
    <w:rsid w:val="00FF2D68"/>
    <w:rsid w:val="00FF7EB1"/>
    <w:rsid w:val="010F68D7"/>
    <w:rsid w:val="01560C32"/>
    <w:rsid w:val="02387C70"/>
    <w:rsid w:val="02AB49FC"/>
    <w:rsid w:val="02D4669D"/>
    <w:rsid w:val="02EA0CCF"/>
    <w:rsid w:val="03064E13"/>
    <w:rsid w:val="03C05022"/>
    <w:rsid w:val="03C142B6"/>
    <w:rsid w:val="03D56DED"/>
    <w:rsid w:val="03F903E2"/>
    <w:rsid w:val="03FE737B"/>
    <w:rsid w:val="04335B11"/>
    <w:rsid w:val="04AC6C6F"/>
    <w:rsid w:val="04B30074"/>
    <w:rsid w:val="04B30699"/>
    <w:rsid w:val="04D57B0E"/>
    <w:rsid w:val="05AF098B"/>
    <w:rsid w:val="062151B0"/>
    <w:rsid w:val="06273BD8"/>
    <w:rsid w:val="064C36CC"/>
    <w:rsid w:val="06C80159"/>
    <w:rsid w:val="06E32170"/>
    <w:rsid w:val="06E615DF"/>
    <w:rsid w:val="07830345"/>
    <w:rsid w:val="07A96329"/>
    <w:rsid w:val="07FD0414"/>
    <w:rsid w:val="094E1D41"/>
    <w:rsid w:val="09EC62C8"/>
    <w:rsid w:val="09FB0C6A"/>
    <w:rsid w:val="0A355DAA"/>
    <w:rsid w:val="0AF11B33"/>
    <w:rsid w:val="0B112D7F"/>
    <w:rsid w:val="0B485072"/>
    <w:rsid w:val="0BBA472E"/>
    <w:rsid w:val="0BDC1094"/>
    <w:rsid w:val="0BE46277"/>
    <w:rsid w:val="0BFF276A"/>
    <w:rsid w:val="0C276A88"/>
    <w:rsid w:val="0C646D82"/>
    <w:rsid w:val="0CD133FB"/>
    <w:rsid w:val="0CDB6909"/>
    <w:rsid w:val="0CFD4CE0"/>
    <w:rsid w:val="0D5B79AB"/>
    <w:rsid w:val="0D6042A8"/>
    <w:rsid w:val="0D6A0A3E"/>
    <w:rsid w:val="0D916DAC"/>
    <w:rsid w:val="0D996961"/>
    <w:rsid w:val="0DC40D43"/>
    <w:rsid w:val="0DE412C2"/>
    <w:rsid w:val="0E883B0D"/>
    <w:rsid w:val="0EB45626"/>
    <w:rsid w:val="0ED551C9"/>
    <w:rsid w:val="0F82532B"/>
    <w:rsid w:val="0FAD20F8"/>
    <w:rsid w:val="0FB06B1C"/>
    <w:rsid w:val="0FBA34B2"/>
    <w:rsid w:val="10514AD4"/>
    <w:rsid w:val="107E423D"/>
    <w:rsid w:val="10834F03"/>
    <w:rsid w:val="10C017E8"/>
    <w:rsid w:val="1106497C"/>
    <w:rsid w:val="11677AD0"/>
    <w:rsid w:val="11FC3F6D"/>
    <w:rsid w:val="12705623"/>
    <w:rsid w:val="12857919"/>
    <w:rsid w:val="12AC3EC0"/>
    <w:rsid w:val="13266600"/>
    <w:rsid w:val="133E07A2"/>
    <w:rsid w:val="13717356"/>
    <w:rsid w:val="13B00D53"/>
    <w:rsid w:val="13D11C6B"/>
    <w:rsid w:val="14625E07"/>
    <w:rsid w:val="14B422D0"/>
    <w:rsid w:val="14DF238B"/>
    <w:rsid w:val="15242D57"/>
    <w:rsid w:val="155A12F6"/>
    <w:rsid w:val="158552FE"/>
    <w:rsid w:val="15F94BBF"/>
    <w:rsid w:val="160E1F5F"/>
    <w:rsid w:val="16207779"/>
    <w:rsid w:val="167161B8"/>
    <w:rsid w:val="16B0476C"/>
    <w:rsid w:val="16F03007"/>
    <w:rsid w:val="17640299"/>
    <w:rsid w:val="17666218"/>
    <w:rsid w:val="176A0BCF"/>
    <w:rsid w:val="176C2B6F"/>
    <w:rsid w:val="17CC73E5"/>
    <w:rsid w:val="17F4064B"/>
    <w:rsid w:val="17F90C2E"/>
    <w:rsid w:val="17F96DCE"/>
    <w:rsid w:val="18267F6A"/>
    <w:rsid w:val="184B16A0"/>
    <w:rsid w:val="18854CCB"/>
    <w:rsid w:val="18FA03E9"/>
    <w:rsid w:val="196D5BAD"/>
    <w:rsid w:val="19DE407C"/>
    <w:rsid w:val="19E10B11"/>
    <w:rsid w:val="1AA87163"/>
    <w:rsid w:val="1B543A37"/>
    <w:rsid w:val="1B737A33"/>
    <w:rsid w:val="1BBF61A2"/>
    <w:rsid w:val="1C4D36F6"/>
    <w:rsid w:val="1C7C0A01"/>
    <w:rsid w:val="1D1B56DC"/>
    <w:rsid w:val="1D2D1128"/>
    <w:rsid w:val="1D352F70"/>
    <w:rsid w:val="1D3F1798"/>
    <w:rsid w:val="1D84058D"/>
    <w:rsid w:val="1D8912F2"/>
    <w:rsid w:val="1DA9642A"/>
    <w:rsid w:val="1DD83ED9"/>
    <w:rsid w:val="1E3950B8"/>
    <w:rsid w:val="1E477435"/>
    <w:rsid w:val="1EA7212E"/>
    <w:rsid w:val="1EEC7DE6"/>
    <w:rsid w:val="20081376"/>
    <w:rsid w:val="200E05B6"/>
    <w:rsid w:val="203E2358"/>
    <w:rsid w:val="20465DAC"/>
    <w:rsid w:val="20766C95"/>
    <w:rsid w:val="20792D57"/>
    <w:rsid w:val="20886F00"/>
    <w:rsid w:val="20F95428"/>
    <w:rsid w:val="21540318"/>
    <w:rsid w:val="215D3B97"/>
    <w:rsid w:val="21986830"/>
    <w:rsid w:val="219E0B79"/>
    <w:rsid w:val="21D25D29"/>
    <w:rsid w:val="21D579F1"/>
    <w:rsid w:val="223226D4"/>
    <w:rsid w:val="2245368C"/>
    <w:rsid w:val="225443E0"/>
    <w:rsid w:val="226752B1"/>
    <w:rsid w:val="227C0C90"/>
    <w:rsid w:val="22DE476E"/>
    <w:rsid w:val="23086BCD"/>
    <w:rsid w:val="232A008F"/>
    <w:rsid w:val="235E4BF1"/>
    <w:rsid w:val="236844C5"/>
    <w:rsid w:val="23860B4B"/>
    <w:rsid w:val="238E7C0B"/>
    <w:rsid w:val="243A284F"/>
    <w:rsid w:val="249767A2"/>
    <w:rsid w:val="24F85849"/>
    <w:rsid w:val="24FF1A7E"/>
    <w:rsid w:val="25134074"/>
    <w:rsid w:val="25F10DE1"/>
    <w:rsid w:val="2623332C"/>
    <w:rsid w:val="26DE7A3E"/>
    <w:rsid w:val="26F357FF"/>
    <w:rsid w:val="27282922"/>
    <w:rsid w:val="273D24AD"/>
    <w:rsid w:val="2758715E"/>
    <w:rsid w:val="27870A20"/>
    <w:rsid w:val="2822556C"/>
    <w:rsid w:val="285279A3"/>
    <w:rsid w:val="285506D5"/>
    <w:rsid w:val="288B7FD6"/>
    <w:rsid w:val="28A245CE"/>
    <w:rsid w:val="28DB663B"/>
    <w:rsid w:val="291757B5"/>
    <w:rsid w:val="29693DB0"/>
    <w:rsid w:val="2978466A"/>
    <w:rsid w:val="29F441C1"/>
    <w:rsid w:val="2A172AE9"/>
    <w:rsid w:val="2A9F6325"/>
    <w:rsid w:val="2AB44674"/>
    <w:rsid w:val="2AD6138A"/>
    <w:rsid w:val="2B004F78"/>
    <w:rsid w:val="2B157BDA"/>
    <w:rsid w:val="2B774BFB"/>
    <w:rsid w:val="2BE769BB"/>
    <w:rsid w:val="2C7407AC"/>
    <w:rsid w:val="2D044F4B"/>
    <w:rsid w:val="2D24524B"/>
    <w:rsid w:val="2D354F0C"/>
    <w:rsid w:val="2D4B5321"/>
    <w:rsid w:val="2D683FA3"/>
    <w:rsid w:val="2D7226CB"/>
    <w:rsid w:val="2DAB0FA6"/>
    <w:rsid w:val="2DFD3658"/>
    <w:rsid w:val="2E3E19FB"/>
    <w:rsid w:val="2E865758"/>
    <w:rsid w:val="2F2F6488"/>
    <w:rsid w:val="2F556F69"/>
    <w:rsid w:val="2F5612F1"/>
    <w:rsid w:val="2FBA743A"/>
    <w:rsid w:val="305B4A49"/>
    <w:rsid w:val="30734ECB"/>
    <w:rsid w:val="310C404B"/>
    <w:rsid w:val="315A4266"/>
    <w:rsid w:val="316D6811"/>
    <w:rsid w:val="319866B7"/>
    <w:rsid w:val="31AD4D31"/>
    <w:rsid w:val="31C34022"/>
    <w:rsid w:val="324246E3"/>
    <w:rsid w:val="32590E63"/>
    <w:rsid w:val="32750185"/>
    <w:rsid w:val="32F81A96"/>
    <w:rsid w:val="33B51FDA"/>
    <w:rsid w:val="33B97CEA"/>
    <w:rsid w:val="342F41AF"/>
    <w:rsid w:val="346D0DDA"/>
    <w:rsid w:val="34E110F2"/>
    <w:rsid w:val="350152B5"/>
    <w:rsid w:val="35B3714C"/>
    <w:rsid w:val="35F9083E"/>
    <w:rsid w:val="362B4B1C"/>
    <w:rsid w:val="36970032"/>
    <w:rsid w:val="36E829F8"/>
    <w:rsid w:val="374448D2"/>
    <w:rsid w:val="37533025"/>
    <w:rsid w:val="3771233D"/>
    <w:rsid w:val="37770356"/>
    <w:rsid w:val="378E3356"/>
    <w:rsid w:val="37BC5527"/>
    <w:rsid w:val="37E561F2"/>
    <w:rsid w:val="386B4484"/>
    <w:rsid w:val="387B156C"/>
    <w:rsid w:val="38815040"/>
    <w:rsid w:val="38B77DBA"/>
    <w:rsid w:val="392B0E69"/>
    <w:rsid w:val="397A17A6"/>
    <w:rsid w:val="39B606BC"/>
    <w:rsid w:val="39D57F0E"/>
    <w:rsid w:val="39D7152C"/>
    <w:rsid w:val="3AA45370"/>
    <w:rsid w:val="3ACC5B3D"/>
    <w:rsid w:val="3AE10C1F"/>
    <w:rsid w:val="3B1E2D4B"/>
    <w:rsid w:val="3B470119"/>
    <w:rsid w:val="3B702855"/>
    <w:rsid w:val="3B7B0319"/>
    <w:rsid w:val="3B7E5A04"/>
    <w:rsid w:val="3BEE7EAD"/>
    <w:rsid w:val="3BF85EF9"/>
    <w:rsid w:val="3C7F4B0D"/>
    <w:rsid w:val="3CAB7F17"/>
    <w:rsid w:val="3CE1290D"/>
    <w:rsid w:val="3D2B252D"/>
    <w:rsid w:val="3DC97E82"/>
    <w:rsid w:val="3DEF3D9F"/>
    <w:rsid w:val="3EC014A3"/>
    <w:rsid w:val="3F0B3DF6"/>
    <w:rsid w:val="3F1D1DB4"/>
    <w:rsid w:val="3FAD4DA9"/>
    <w:rsid w:val="3FC45A93"/>
    <w:rsid w:val="3FC94034"/>
    <w:rsid w:val="3FD14B13"/>
    <w:rsid w:val="3FD7050E"/>
    <w:rsid w:val="401F1429"/>
    <w:rsid w:val="40447A15"/>
    <w:rsid w:val="40981D46"/>
    <w:rsid w:val="40C4524F"/>
    <w:rsid w:val="41064D0E"/>
    <w:rsid w:val="410C017D"/>
    <w:rsid w:val="425A31D4"/>
    <w:rsid w:val="42D1480B"/>
    <w:rsid w:val="42F0434A"/>
    <w:rsid w:val="43000453"/>
    <w:rsid w:val="43396B36"/>
    <w:rsid w:val="433D6DBA"/>
    <w:rsid w:val="434D3CA7"/>
    <w:rsid w:val="437F3F8B"/>
    <w:rsid w:val="43E87EA3"/>
    <w:rsid w:val="43F46968"/>
    <w:rsid w:val="4427580A"/>
    <w:rsid w:val="44321F71"/>
    <w:rsid w:val="4447627F"/>
    <w:rsid w:val="44797679"/>
    <w:rsid w:val="44B8628D"/>
    <w:rsid w:val="44D45DED"/>
    <w:rsid w:val="44D836CC"/>
    <w:rsid w:val="45442489"/>
    <w:rsid w:val="454F7F8B"/>
    <w:rsid w:val="45624369"/>
    <w:rsid w:val="45CD69A5"/>
    <w:rsid w:val="45DC66E4"/>
    <w:rsid w:val="460E4795"/>
    <w:rsid w:val="4624120A"/>
    <w:rsid w:val="468A3901"/>
    <w:rsid w:val="46B817C7"/>
    <w:rsid w:val="47314E5B"/>
    <w:rsid w:val="47553725"/>
    <w:rsid w:val="4820317F"/>
    <w:rsid w:val="48A50BA3"/>
    <w:rsid w:val="48CA2F83"/>
    <w:rsid w:val="490F33CC"/>
    <w:rsid w:val="49857E20"/>
    <w:rsid w:val="49F821E9"/>
    <w:rsid w:val="4A081BD8"/>
    <w:rsid w:val="4A486B60"/>
    <w:rsid w:val="4AF83705"/>
    <w:rsid w:val="4B15047D"/>
    <w:rsid w:val="4BBA14CC"/>
    <w:rsid w:val="4C7910C5"/>
    <w:rsid w:val="4CC6346C"/>
    <w:rsid w:val="4CFC70AE"/>
    <w:rsid w:val="4D25547A"/>
    <w:rsid w:val="4D3B490E"/>
    <w:rsid w:val="4D617B07"/>
    <w:rsid w:val="4E6529D5"/>
    <w:rsid w:val="4ED152B3"/>
    <w:rsid w:val="4F0F4119"/>
    <w:rsid w:val="4F3C3ACC"/>
    <w:rsid w:val="4F6E1A39"/>
    <w:rsid w:val="4F7B7BD9"/>
    <w:rsid w:val="4F9B5DE2"/>
    <w:rsid w:val="4FA03482"/>
    <w:rsid w:val="4FB9245B"/>
    <w:rsid w:val="4FC251EE"/>
    <w:rsid w:val="4FCB7A49"/>
    <w:rsid w:val="50221D62"/>
    <w:rsid w:val="502F6046"/>
    <w:rsid w:val="506D5907"/>
    <w:rsid w:val="507B329D"/>
    <w:rsid w:val="50986F00"/>
    <w:rsid w:val="50A87266"/>
    <w:rsid w:val="50A963FD"/>
    <w:rsid w:val="50B923A2"/>
    <w:rsid w:val="50DB117C"/>
    <w:rsid w:val="511308D3"/>
    <w:rsid w:val="51691D58"/>
    <w:rsid w:val="51845870"/>
    <w:rsid w:val="519A3924"/>
    <w:rsid w:val="51AB222B"/>
    <w:rsid w:val="52113E74"/>
    <w:rsid w:val="521C4D2E"/>
    <w:rsid w:val="525E39B3"/>
    <w:rsid w:val="5309067F"/>
    <w:rsid w:val="533F5229"/>
    <w:rsid w:val="5394161F"/>
    <w:rsid w:val="541E5A0C"/>
    <w:rsid w:val="547B1955"/>
    <w:rsid w:val="54AF08C6"/>
    <w:rsid w:val="550F640B"/>
    <w:rsid w:val="55345EC4"/>
    <w:rsid w:val="555D063F"/>
    <w:rsid w:val="55C63142"/>
    <w:rsid w:val="55C71A0E"/>
    <w:rsid w:val="560D45C6"/>
    <w:rsid w:val="560D7E52"/>
    <w:rsid w:val="566D4D24"/>
    <w:rsid w:val="566E43BE"/>
    <w:rsid w:val="56E2746A"/>
    <w:rsid w:val="56F658BD"/>
    <w:rsid w:val="57277626"/>
    <w:rsid w:val="5729591F"/>
    <w:rsid w:val="57561879"/>
    <w:rsid w:val="57837273"/>
    <w:rsid w:val="57CD0E7B"/>
    <w:rsid w:val="57CE1B7E"/>
    <w:rsid w:val="57F80F2A"/>
    <w:rsid w:val="586A23B1"/>
    <w:rsid w:val="59207A8F"/>
    <w:rsid w:val="5A0E0E4F"/>
    <w:rsid w:val="5A205037"/>
    <w:rsid w:val="5A2120C5"/>
    <w:rsid w:val="5A3C236A"/>
    <w:rsid w:val="5A4C51F6"/>
    <w:rsid w:val="5A4E7275"/>
    <w:rsid w:val="5AB04A11"/>
    <w:rsid w:val="5AE76B11"/>
    <w:rsid w:val="5AEC5C96"/>
    <w:rsid w:val="5B0833BF"/>
    <w:rsid w:val="5B0E4079"/>
    <w:rsid w:val="5BA425D2"/>
    <w:rsid w:val="5BAF00BD"/>
    <w:rsid w:val="5CA26E68"/>
    <w:rsid w:val="5D073A14"/>
    <w:rsid w:val="5D2406AA"/>
    <w:rsid w:val="5D723FF8"/>
    <w:rsid w:val="5D7E77C2"/>
    <w:rsid w:val="5DDD50CB"/>
    <w:rsid w:val="5E5F71D2"/>
    <w:rsid w:val="5EFF7537"/>
    <w:rsid w:val="5F057B5D"/>
    <w:rsid w:val="5F2C5342"/>
    <w:rsid w:val="5F8F733E"/>
    <w:rsid w:val="5F932434"/>
    <w:rsid w:val="5FC55FA2"/>
    <w:rsid w:val="5FD8653C"/>
    <w:rsid w:val="5FDA6B79"/>
    <w:rsid w:val="601520E1"/>
    <w:rsid w:val="605F5CC8"/>
    <w:rsid w:val="60B239E0"/>
    <w:rsid w:val="612B2474"/>
    <w:rsid w:val="61502274"/>
    <w:rsid w:val="61B37B81"/>
    <w:rsid w:val="61C471A3"/>
    <w:rsid w:val="61F81BA0"/>
    <w:rsid w:val="6286063A"/>
    <w:rsid w:val="629F134C"/>
    <w:rsid w:val="635F0AA4"/>
    <w:rsid w:val="63744B50"/>
    <w:rsid w:val="638A7801"/>
    <w:rsid w:val="638C30D9"/>
    <w:rsid w:val="63A155BF"/>
    <w:rsid w:val="66400F0D"/>
    <w:rsid w:val="669018C4"/>
    <w:rsid w:val="66CE004A"/>
    <w:rsid w:val="66FF49C2"/>
    <w:rsid w:val="68094C3A"/>
    <w:rsid w:val="6825646F"/>
    <w:rsid w:val="682C280C"/>
    <w:rsid w:val="684C5F39"/>
    <w:rsid w:val="685779A2"/>
    <w:rsid w:val="68782B12"/>
    <w:rsid w:val="692D669A"/>
    <w:rsid w:val="695316BB"/>
    <w:rsid w:val="69590C7C"/>
    <w:rsid w:val="69635855"/>
    <w:rsid w:val="69971B44"/>
    <w:rsid w:val="69E479BE"/>
    <w:rsid w:val="6A484A87"/>
    <w:rsid w:val="6A93522A"/>
    <w:rsid w:val="6AB40CF4"/>
    <w:rsid w:val="6AF46499"/>
    <w:rsid w:val="6B2731A1"/>
    <w:rsid w:val="6B534A0D"/>
    <w:rsid w:val="6BA257E2"/>
    <w:rsid w:val="6BA82671"/>
    <w:rsid w:val="6C2A02DF"/>
    <w:rsid w:val="6C335886"/>
    <w:rsid w:val="6C913CF0"/>
    <w:rsid w:val="6CE116EB"/>
    <w:rsid w:val="6D2634A0"/>
    <w:rsid w:val="6D4113E3"/>
    <w:rsid w:val="6D491F96"/>
    <w:rsid w:val="6DBF7283"/>
    <w:rsid w:val="6E7F558E"/>
    <w:rsid w:val="6EA44903"/>
    <w:rsid w:val="6ECD5395"/>
    <w:rsid w:val="6F097333"/>
    <w:rsid w:val="6F267D5E"/>
    <w:rsid w:val="6FAD6CFC"/>
    <w:rsid w:val="6FB91DC2"/>
    <w:rsid w:val="704056F7"/>
    <w:rsid w:val="70DC792E"/>
    <w:rsid w:val="72632102"/>
    <w:rsid w:val="727E228A"/>
    <w:rsid w:val="728A4488"/>
    <w:rsid w:val="728B4494"/>
    <w:rsid w:val="72BC4E87"/>
    <w:rsid w:val="72D625DB"/>
    <w:rsid w:val="72E72287"/>
    <w:rsid w:val="73462AFF"/>
    <w:rsid w:val="74597AC4"/>
    <w:rsid w:val="74D82DF5"/>
    <w:rsid w:val="75AE345C"/>
    <w:rsid w:val="75B3457D"/>
    <w:rsid w:val="763726A9"/>
    <w:rsid w:val="76D1652C"/>
    <w:rsid w:val="770E0732"/>
    <w:rsid w:val="770F419A"/>
    <w:rsid w:val="77171F9D"/>
    <w:rsid w:val="77A50841"/>
    <w:rsid w:val="77A517C7"/>
    <w:rsid w:val="7845735B"/>
    <w:rsid w:val="7847469D"/>
    <w:rsid w:val="78D9755A"/>
    <w:rsid w:val="79027079"/>
    <w:rsid w:val="79341F46"/>
    <w:rsid w:val="79590294"/>
    <w:rsid w:val="7969175C"/>
    <w:rsid w:val="7972647D"/>
    <w:rsid w:val="79780BD4"/>
    <w:rsid w:val="798763AE"/>
    <w:rsid w:val="7993425C"/>
    <w:rsid w:val="7A521717"/>
    <w:rsid w:val="7A9071C1"/>
    <w:rsid w:val="7A995E93"/>
    <w:rsid w:val="7AD76164"/>
    <w:rsid w:val="7B33107C"/>
    <w:rsid w:val="7B3431F3"/>
    <w:rsid w:val="7B52156E"/>
    <w:rsid w:val="7B7918CC"/>
    <w:rsid w:val="7BBC03A9"/>
    <w:rsid w:val="7BC93C26"/>
    <w:rsid w:val="7BCD3DD9"/>
    <w:rsid w:val="7C1D6D69"/>
    <w:rsid w:val="7C8668BF"/>
    <w:rsid w:val="7D300F22"/>
    <w:rsid w:val="7DA13A25"/>
    <w:rsid w:val="7DA55F7A"/>
    <w:rsid w:val="7E0109C9"/>
    <w:rsid w:val="7E114AD5"/>
    <w:rsid w:val="7E3C77F5"/>
    <w:rsid w:val="7EED60C5"/>
    <w:rsid w:val="7F5F577C"/>
    <w:rsid w:val="7F840F53"/>
    <w:rsid w:val="7FA846D4"/>
    <w:rsid w:val="7FD137D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link w:val="68"/>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paragraph" w:styleId="5">
    <w:name w:val="heading 4"/>
    <w:basedOn w:val="1"/>
    <w:next w:val="1"/>
    <w:qFormat/>
    <w:uiPriority w:val="0"/>
    <w:pPr>
      <w:keepNext/>
      <w:keepLines/>
      <w:numPr>
        <w:ilvl w:val="0"/>
        <w:numId w:val="1"/>
      </w:numPr>
      <w:tabs>
        <w:tab w:val="left" w:pos="720"/>
      </w:tabs>
      <w:spacing w:before="560" w:after="29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beforeAutospacing="0"/>
    </w:pPr>
    <w:rPr>
      <w:rFonts w:ascii="Arial" w:hAnsi="Arial"/>
      <w:sz w:val="24"/>
    </w:rPr>
  </w:style>
  <w:style w:type="paragraph" w:styleId="19">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4"/>
      </w:numPr>
      <w:adjustRightInd w:val="0"/>
      <w:snapToGrid w:val="0"/>
      <w:spacing w:line="360" w:lineRule="auto"/>
    </w:pPr>
    <w:rPr>
      <w:sz w:val="24"/>
    </w:rPr>
  </w:style>
  <w:style w:type="paragraph" w:styleId="22">
    <w:name w:val="Body Text"/>
    <w:basedOn w:val="1"/>
    <w:qFormat/>
    <w:uiPriority w:val="0"/>
    <w:rPr>
      <w:rFonts w:ascii="仿宋_GB2312" w:eastAsia="仿宋_GB2312"/>
      <w:kern w:val="2"/>
      <w:sz w:val="32"/>
    </w:rPr>
  </w:style>
  <w:style w:type="paragraph" w:styleId="23">
    <w:name w:val="Body Text Indent"/>
    <w:basedOn w:val="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index 4"/>
    <w:basedOn w:val="1"/>
    <w:next w:val="1"/>
    <w:unhideWhenUsed/>
    <w:qFormat/>
    <w:uiPriority w:val="99"/>
    <w:pPr>
      <w:framePr w:hSpace="180" w:wrap="around" w:vAnchor="text" w:hAnchor="page" w:xAlign="center" w:y="387"/>
      <w:suppressOverlap/>
      <w:spacing w:line="360" w:lineRule="auto"/>
    </w:pPr>
  </w:style>
  <w:style w:type="paragraph" w:styleId="29">
    <w:name w:val="toc 5"/>
    <w:basedOn w:val="1"/>
    <w:next w:val="1"/>
    <w:qFormat/>
    <w:uiPriority w:val="0"/>
    <w:pPr>
      <w:ind w:left="1680" w:leftChars="800"/>
    </w:pPr>
  </w:style>
  <w:style w:type="paragraph" w:styleId="30">
    <w:name w:val="toc 3"/>
    <w:basedOn w:val="1"/>
    <w:next w:val="1"/>
    <w:qFormat/>
    <w:uiPriority w:val="0"/>
    <w:pPr>
      <w:ind w:left="840" w:leftChars="400"/>
    </w:pPr>
  </w:style>
  <w:style w:type="paragraph" w:styleId="31">
    <w:name w:val="Plain Text"/>
    <w:basedOn w:val="1"/>
    <w:qFormat/>
    <w:uiPriority w:val="0"/>
    <w:pPr>
      <w:adjustRightInd w:val="0"/>
      <w:snapToGrid w:val="0"/>
      <w:spacing w:line="360" w:lineRule="auto"/>
    </w:pPr>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69"/>
    <w:qFormat/>
    <w:uiPriority w:val="0"/>
  </w:style>
  <w:style w:type="paragraph" w:styleId="34">
    <w:name w:val="Body Text Indent 2"/>
    <w:basedOn w:val="1"/>
    <w:qFormat/>
    <w:uiPriority w:val="0"/>
    <w:pPr>
      <w:snapToGrid w:val="0"/>
      <w:spacing w:line="440" w:lineRule="atLeast"/>
      <w:ind w:firstLine="570"/>
    </w:pPr>
    <w:rPr>
      <w:rFonts w:ascii="宋体"/>
    </w:rPr>
  </w:style>
  <w:style w:type="paragraph" w:styleId="35">
    <w:name w:val="Balloon Text"/>
    <w:basedOn w:val="1"/>
    <w:qFormat/>
    <w:uiPriority w:val="0"/>
    <w:rPr>
      <w:sz w:val="18"/>
    </w:rPr>
  </w:style>
  <w:style w:type="paragraph" w:styleId="36">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37">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8">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uiPriority w:val="39"/>
    <w:pPr>
      <w:tabs>
        <w:tab w:val="right" w:leader="dot" w:pos="8400"/>
      </w:tabs>
      <w:spacing w:line="440" w:lineRule="exact"/>
      <w:ind w:left="280" w:leftChars="100" w:rightChars="-91"/>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5">
    <w:name w:val="annotation subject"/>
    <w:basedOn w:val="19"/>
    <w:next w:val="19"/>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qFormat/>
    <w:uiPriority w:val="0"/>
    <w:pPr>
      <w:spacing w:after="120" w:afterLines="0" w:afterAutospacing="0" w:line="240" w:lineRule="auto"/>
      <w:ind w:left="420" w:leftChars="200" w:firstLine="420" w:firstLineChars="200"/>
    </w:pPr>
    <w:rPr>
      <w:sz w:val="21"/>
    </w:r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rPr>
  </w:style>
  <w:style w:type="character" w:styleId="67">
    <w:name w:val="footnote reference"/>
    <w:qFormat/>
    <w:uiPriority w:val="0"/>
    <w:rPr>
      <w:position w:val="6"/>
      <w:sz w:val="14"/>
      <w:vertAlign w:val="superscript"/>
    </w:rPr>
  </w:style>
  <w:style w:type="character" w:customStyle="1" w:styleId="68">
    <w:name w:val="标题 2 Char"/>
    <w:link w:val="3"/>
    <w:qFormat/>
    <w:uiPriority w:val="0"/>
    <w:rPr>
      <w:rFonts w:ascii="宋体" w:hAnsi="宋体"/>
      <w:kern w:val="2"/>
      <w:sz w:val="28"/>
    </w:rPr>
  </w:style>
  <w:style w:type="character" w:customStyle="1" w:styleId="69">
    <w:name w:val="日期 Char"/>
    <w:link w:val="33"/>
    <w:qFormat/>
    <w:uiPriority w:val="0"/>
    <w:rPr>
      <w:kern w:val="2"/>
      <w:sz w:val="28"/>
    </w:rPr>
  </w:style>
  <w:style w:type="character" w:customStyle="1" w:styleId="70">
    <w:name w:val="样式 宋体"/>
    <w:qFormat/>
    <w:uiPriority w:val="0"/>
    <w:rPr>
      <w:rFonts w:ascii="宋体" w:hAnsi="宋体" w:eastAsia="宋体"/>
      <w:sz w:val="28"/>
    </w:rPr>
  </w:style>
  <w:style w:type="character" w:customStyle="1" w:styleId="71">
    <w:name w:val=" Char Char5"/>
    <w:qFormat/>
    <w:uiPriority w:val="0"/>
    <w:rPr>
      <w:rFonts w:ascii="Arial" w:hAnsi="Arial" w:eastAsia="宋体"/>
      <w:b/>
      <w:smallCaps/>
      <w:kern w:val="28"/>
      <w:sz w:val="36"/>
      <w:lang w:val="en-US" w:eastAsia="en-US"/>
    </w:rPr>
  </w:style>
  <w:style w:type="character" w:customStyle="1" w:styleId="72">
    <w:name w:val="top-det1"/>
    <w:qFormat/>
    <w:uiPriority w:val="0"/>
    <w:rPr>
      <w:b/>
      <w:color w:val="000000"/>
    </w:rPr>
  </w:style>
  <w:style w:type="character" w:customStyle="1" w:styleId="73">
    <w:name w:val="font1"/>
    <w:qFormat/>
    <w:uiPriority w:val="0"/>
    <w:rPr>
      <w:color w:val="000000"/>
      <w:sz w:val="18"/>
    </w:rPr>
  </w:style>
  <w:style w:type="character" w:customStyle="1" w:styleId="74">
    <w:name w:val="标书正文:  0.74 厘米 Char1"/>
    <w:qFormat/>
    <w:uiPriority w:val="0"/>
    <w:rPr>
      <w:rFonts w:eastAsia="宋体"/>
      <w:kern w:val="2"/>
      <w:sz w:val="24"/>
      <w:lang w:val="en-US" w:eastAsia="zh-CN"/>
    </w:rPr>
  </w:style>
  <w:style w:type="character" w:customStyle="1" w:styleId="75">
    <w:name w:val="小 Char"/>
    <w:qFormat/>
    <w:uiPriority w:val="0"/>
    <w:rPr>
      <w:rFonts w:ascii="宋体" w:hAnsi="Courier New" w:eastAsia="宋体"/>
      <w:kern w:val="2"/>
      <w:sz w:val="21"/>
      <w:lang w:val="en-US" w:eastAsia="zh-CN" w:bidi="ar-SA"/>
    </w:rPr>
  </w:style>
  <w:style w:type="character" w:customStyle="1" w:styleId="76">
    <w:name w:val=" Char Char"/>
    <w:qFormat/>
    <w:uiPriority w:val="0"/>
    <w:rPr>
      <w:rFonts w:ascii="宋体" w:hAnsi="宋体" w:eastAsia="宋体"/>
      <w:kern w:val="2"/>
      <w:sz w:val="24"/>
      <w:lang w:val="en-US" w:eastAsia="zh-CN" w:bidi="ar-SA"/>
    </w:rPr>
  </w:style>
  <w:style w:type="character" w:customStyle="1" w:styleId="77">
    <w:name w:val=" Char Char2"/>
    <w:qFormat/>
    <w:uiPriority w:val="0"/>
    <w:rPr>
      <w:rFonts w:eastAsia="宋体"/>
      <w:kern w:val="2"/>
      <w:sz w:val="18"/>
      <w:lang w:val="en-US" w:eastAsia="zh-CN"/>
    </w:rPr>
  </w:style>
  <w:style w:type="character" w:customStyle="1" w:styleId="78">
    <w:name w:val="v151"/>
    <w:qFormat/>
    <w:uiPriority w:val="0"/>
    <w:rPr>
      <w:sz w:val="18"/>
    </w:rPr>
  </w:style>
  <w:style w:type="character" w:customStyle="1" w:styleId="79">
    <w:name w:val="Table Text Char"/>
    <w:qFormat/>
    <w:uiPriority w:val="0"/>
    <w:rPr>
      <w:rFonts w:ascii="Arial" w:hAnsi="Arial"/>
      <w:kern w:val="2"/>
      <w:sz w:val="18"/>
      <w:lang w:val="en-US" w:eastAsia="zh-CN" w:bidi="ar-SA"/>
    </w:rPr>
  </w:style>
  <w:style w:type="character" w:customStyle="1" w:styleId="80">
    <w:name w:val="未命名11"/>
    <w:qFormat/>
    <w:uiPriority w:val="0"/>
    <w:rPr>
      <w:color w:val="77FFFF"/>
      <w:sz w:val="24"/>
    </w:rPr>
  </w:style>
  <w:style w:type="character" w:customStyle="1" w:styleId="81">
    <w:name w:val="Table Text Char Char Char Char"/>
    <w:qFormat/>
    <w:uiPriority w:val="0"/>
    <w:rPr>
      <w:rFonts w:ascii="Arial" w:hAnsi="Arial"/>
      <w:kern w:val="2"/>
      <w:sz w:val="18"/>
      <w:lang w:val="en-US" w:eastAsia="zh-CN" w:bidi="ar-SA"/>
    </w:rPr>
  </w:style>
  <w:style w:type="character" w:customStyle="1" w:styleId="82">
    <w:name w:val="Table Heading Char Char"/>
    <w:qFormat/>
    <w:uiPriority w:val="0"/>
    <w:rPr>
      <w:rFonts w:ascii="Arial" w:hAnsi="Arial" w:eastAsia="黑体"/>
      <w:kern w:val="2"/>
      <w:sz w:val="18"/>
      <w:lang w:val="en-US" w:eastAsia="zh-CN"/>
    </w:rPr>
  </w:style>
  <w:style w:type="character" w:customStyle="1" w:styleId="83">
    <w:name w:val="正文 + 三号 Char"/>
    <w:qFormat/>
    <w:uiPriority w:val="0"/>
    <w:rPr>
      <w:rFonts w:eastAsia="宋体"/>
      <w:kern w:val="2"/>
      <w:sz w:val="21"/>
      <w:lang w:val="en-US" w:eastAsia="zh-CN"/>
    </w:rPr>
  </w:style>
  <w:style w:type="character" w:customStyle="1" w:styleId="84">
    <w:name w:val=" Char Char6"/>
    <w:qFormat/>
    <w:uiPriority w:val="0"/>
    <w:rPr>
      <w:rFonts w:ascii="仿宋_GB2312" w:eastAsia="仿宋_GB2312"/>
      <w:kern w:val="2"/>
      <w:sz w:val="32"/>
    </w:rPr>
  </w:style>
  <w:style w:type="character" w:customStyle="1" w:styleId="85">
    <w:name w:val="Table Text Char1 Char"/>
    <w:qFormat/>
    <w:uiPriority w:val="0"/>
    <w:rPr>
      <w:rFonts w:ascii="Arial" w:hAnsi="Arial"/>
      <w:kern w:val="2"/>
      <w:sz w:val="18"/>
      <w:lang w:val="en-US" w:eastAsia="zh-CN" w:bidi="ar-SA"/>
    </w:rPr>
  </w:style>
  <w:style w:type="character" w:customStyle="1" w:styleId="86">
    <w:name w:val="文字 Char"/>
    <w:link w:val="87"/>
    <w:qFormat/>
    <w:uiPriority w:val="0"/>
    <w:rPr>
      <w:rFonts w:ascii="宋体" w:eastAsia="宋体"/>
      <w:kern w:val="2"/>
      <w:sz w:val="28"/>
      <w:lang w:val="en-US" w:eastAsia="zh-CN" w:bidi="ar-SA"/>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 Char Char7"/>
    <w:qFormat/>
    <w:uiPriority w:val="0"/>
    <w:rPr>
      <w:rFonts w:ascii="宋体" w:hAnsi="宋体" w:eastAsia="宋体"/>
      <w:kern w:val="2"/>
      <w:sz w:val="28"/>
    </w:rPr>
  </w:style>
  <w:style w:type="character" w:customStyle="1" w:styleId="89">
    <w:name w:val="content-white1"/>
    <w:qFormat/>
    <w:uiPriority w:val="0"/>
    <w:rPr>
      <w:rFonts w:ascii="_x000B__x000C_" w:hAnsi="_x000B__x000C_"/>
      <w:color w:val="auto"/>
      <w:sz w:val="18"/>
      <w:u w:val="none"/>
    </w:rPr>
  </w:style>
  <w:style w:type="character" w:customStyle="1" w:styleId="90">
    <w:name w:val=" Char Char3"/>
    <w:qFormat/>
    <w:uiPriority w:val="0"/>
    <w:rPr>
      <w:rFonts w:eastAsia="宋体"/>
      <w:kern w:val="2"/>
      <w:sz w:val="18"/>
      <w:lang w:val="en-US" w:eastAsia="zh-CN"/>
    </w:rPr>
  </w:style>
  <w:style w:type="character" w:customStyle="1" w:styleId="91">
    <w:name w:val="crowed11"/>
    <w:qFormat/>
    <w:uiPriority w:val="0"/>
    <w:rPr>
      <w:rFonts w:hint="default" w:ascii="_x000B__x000C_" w:hAnsi="_x000B__x000C_"/>
      <w:sz w:val="24"/>
    </w:rPr>
  </w:style>
  <w:style w:type="character" w:customStyle="1" w:styleId="92">
    <w:name w:val=" Char Char4"/>
    <w:qFormat/>
    <w:uiPriority w:val="0"/>
    <w:rPr>
      <w:rFonts w:eastAsia="宋体"/>
      <w:b/>
      <w:kern w:val="2"/>
      <w:sz w:val="21"/>
      <w:lang w:val="en-US" w:eastAsia="zh-CN"/>
    </w:rPr>
  </w:style>
  <w:style w:type="paragraph" w:customStyle="1" w:styleId="93">
    <w:name w:val="正文表格"/>
    <w:basedOn w:val="1"/>
    <w:qFormat/>
    <w:uiPriority w:val="0"/>
    <w:pPr>
      <w:adjustRightInd w:val="0"/>
      <w:spacing w:before="40" w:beforeLines="0" w:beforeAutospacing="0" w:after="40" w:afterLines="0" w:afterAutospacing="0"/>
    </w:pPr>
    <w:rPr>
      <w:sz w:val="24"/>
    </w:rPr>
  </w:style>
  <w:style w:type="paragraph" w:customStyle="1" w:styleId="94">
    <w:name w:val="样式 样式 首行缩进:  2 字符 + 首行缩进:  2 字符"/>
    <w:basedOn w:val="1"/>
    <w:qFormat/>
    <w:uiPriority w:val="0"/>
    <w:pPr>
      <w:numPr>
        <w:ilvl w:val="0"/>
        <w:numId w:val="6"/>
      </w:numPr>
      <w:tabs>
        <w:tab w:val="clear" w:pos="1230"/>
      </w:tabs>
      <w:spacing w:line="360" w:lineRule="auto"/>
      <w:ind w:firstLine="480" w:firstLineChars="200"/>
    </w:pPr>
    <w:rPr>
      <w:sz w:val="24"/>
    </w:rPr>
  </w:style>
  <w:style w:type="paragraph" w:customStyle="1" w:styleId="95">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96">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97">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98">
    <w:name w:val="编号正文"/>
    <w:basedOn w:val="99"/>
    <w:qFormat/>
    <w:uiPriority w:val="0"/>
    <w:pPr>
      <w:snapToGrid/>
      <w:spacing w:line="360" w:lineRule="auto"/>
      <w:ind w:left="1407" w:hanging="1047"/>
      <w:jc w:val="left"/>
    </w:pPr>
    <w:rPr>
      <w:rFonts w:eastAsia="仿宋_GB2312"/>
    </w:rPr>
  </w:style>
  <w:style w:type="paragraph" w:customStyle="1" w:styleId="9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0">
    <w:name w:val="关键词"/>
    <w:basedOn w:val="1"/>
    <w:next w:val="1"/>
    <w:qFormat/>
    <w:uiPriority w:val="0"/>
    <w:pPr>
      <w:spacing w:line="360" w:lineRule="auto"/>
    </w:pPr>
    <w:rPr>
      <w:rFonts w:eastAsia="黑体"/>
      <w:sz w:val="20"/>
    </w:rPr>
  </w:style>
  <w:style w:type="paragraph" w:customStyle="1" w:styleId="101">
    <w:name w:val="默认段落字体 Para Char Char Char Char Char Char Char"/>
    <w:basedOn w:val="1"/>
    <w:qFormat/>
    <w:uiPriority w:val="0"/>
    <w:rPr>
      <w:rFonts w:ascii="Tahoma" w:hAnsi="Tahoma"/>
      <w:sz w:val="24"/>
    </w:rPr>
  </w:style>
  <w:style w:type="paragraph" w:customStyle="1" w:styleId="102">
    <w:name w:val="Char1 Char Char Char"/>
    <w:basedOn w:val="1"/>
    <w:qFormat/>
    <w:uiPriority w:val="0"/>
    <w:rPr>
      <w:rFonts w:ascii="Tahoma" w:hAnsi="Tahoma"/>
      <w:sz w:val="21"/>
    </w:rPr>
  </w:style>
  <w:style w:type="paragraph" w:customStyle="1" w:styleId="103">
    <w:name w:val="标书正文:  0.74 厘米"/>
    <w:basedOn w:val="1"/>
    <w:qFormat/>
    <w:uiPriority w:val="0"/>
    <w:pPr>
      <w:snapToGrid w:val="0"/>
      <w:spacing w:line="360" w:lineRule="auto"/>
      <w:ind w:firstLine="420"/>
    </w:pPr>
    <w:rPr>
      <w:rFonts w:eastAsia="宋体"/>
      <w:kern w:val="2"/>
      <w:sz w:val="24"/>
      <w:lang w:val="en-US" w:eastAsia="zh-CN"/>
    </w:rPr>
  </w:style>
  <w:style w:type="paragraph" w:customStyle="1" w:styleId="104">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05">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06">
    <w:name w:val="标题无"/>
    <w:basedOn w:val="1"/>
    <w:qFormat/>
    <w:uiPriority w:val="0"/>
    <w:pPr>
      <w:spacing w:line="360" w:lineRule="auto"/>
    </w:pPr>
    <w:rPr>
      <w:sz w:val="24"/>
    </w:rPr>
  </w:style>
  <w:style w:type="paragraph" w:customStyle="1" w:styleId="10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08">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09">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10">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11">
    <w:name w:val=" Char Char Char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11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3">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14">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15">
    <w:name w:val="列表项目"/>
    <w:basedOn w:val="1"/>
    <w:qFormat/>
    <w:uiPriority w:val="0"/>
    <w:pPr>
      <w:numPr>
        <w:ilvl w:val="0"/>
        <w:numId w:val="7"/>
      </w:numPr>
      <w:tabs>
        <w:tab w:val="left" w:pos="420"/>
        <w:tab w:val="clear" w:pos="980"/>
      </w:tabs>
      <w:spacing w:line="288" w:lineRule="auto"/>
      <w:ind w:left="840" w:leftChars="200" w:hanging="420" w:hangingChars="200"/>
    </w:pPr>
    <w:rPr>
      <w:sz w:val="21"/>
    </w:rPr>
  </w:style>
  <w:style w:type="paragraph" w:customStyle="1" w:styleId="116">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17">
    <w:name w:val="章标题"/>
    <w:next w:val="1"/>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18">
    <w:name w:val=" Char1"/>
    <w:basedOn w:val="1"/>
    <w:qFormat/>
    <w:uiPriority w:val="0"/>
    <w:rPr>
      <w:sz w:val="21"/>
    </w:rPr>
  </w:style>
  <w:style w:type="paragraph" w:customStyle="1" w:styleId="119">
    <w:name w:val="1.正文"/>
    <w:basedOn w:val="1"/>
    <w:qFormat/>
    <w:uiPriority w:val="0"/>
    <w:pPr>
      <w:spacing w:line="360" w:lineRule="auto"/>
      <w:ind w:left="540" w:leftChars="225" w:firstLine="540" w:firstLineChars="225"/>
    </w:pPr>
    <w:rPr>
      <w:sz w:val="24"/>
    </w:rPr>
  </w:style>
  <w:style w:type="paragraph" w:customStyle="1" w:styleId="120">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样式 首行缩进:  0.74 厘米"/>
    <w:basedOn w:val="1"/>
    <w:qFormat/>
    <w:uiPriority w:val="0"/>
    <w:pPr>
      <w:spacing w:line="360" w:lineRule="auto"/>
      <w:ind w:firstLine="420"/>
    </w:pPr>
    <w:rPr>
      <w:sz w:val="24"/>
    </w:rPr>
  </w:style>
  <w:style w:type="paragraph" w:customStyle="1" w:styleId="122">
    <w:name w:val="Item List"/>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23">
    <w:name w:val="标准正文"/>
    <w:basedOn w:val="23"/>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124">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125">
    <w:name w:val="二级列表"/>
    <w:basedOn w:val="126"/>
    <w:next w:val="126"/>
    <w:qFormat/>
    <w:uiPriority w:val="0"/>
    <w:pPr>
      <w:tabs>
        <w:tab w:val="left" w:pos="2120"/>
      </w:tabs>
      <w:ind w:firstLine="0" w:firstLineChars="0"/>
    </w:pPr>
    <w:rPr>
      <w:b/>
    </w:rPr>
  </w:style>
  <w:style w:type="paragraph" w:customStyle="1" w:styleId="126">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2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8">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9">
    <w:name w:val="简单回函地址"/>
    <w:basedOn w:val="1"/>
    <w:qFormat/>
    <w:uiPriority w:val="0"/>
    <w:pPr>
      <w:adjustRightInd w:val="0"/>
      <w:snapToGrid w:val="0"/>
      <w:spacing w:line="360" w:lineRule="auto"/>
    </w:pPr>
    <w:rPr>
      <w:sz w:val="24"/>
    </w:rPr>
  </w:style>
  <w:style w:type="paragraph" w:customStyle="1" w:styleId="13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3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2">
    <w:name w:val="1"/>
    <w:basedOn w:val="1"/>
    <w:qFormat/>
    <w:uiPriority w:val="0"/>
    <w:rPr>
      <w:rFonts w:ascii="Tahoma" w:hAnsi="Tahoma"/>
      <w:sz w:val="24"/>
    </w:rPr>
  </w:style>
  <w:style w:type="paragraph" w:customStyle="1" w:styleId="133">
    <w:name w:val="Title - Revision"/>
    <w:basedOn w:val="54"/>
    <w:qFormat/>
    <w:uiPriority w:val="0"/>
    <w:pPr>
      <w:spacing w:before="720" w:beforeLines="0" w:beforeAutospacing="0"/>
    </w:pPr>
  </w:style>
  <w:style w:type="paragraph" w:customStyle="1" w:styleId="134">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35">
    <w:name w:val="样式1xz"/>
    <w:basedOn w:val="1"/>
    <w:qFormat/>
    <w:uiPriority w:val="0"/>
    <w:pPr>
      <w:tabs>
        <w:tab w:val="left" w:pos="1050"/>
        <w:tab w:val="right" w:leader="dot" w:pos="8296"/>
      </w:tabs>
    </w:pPr>
    <w:rPr>
      <w:caps/>
      <w:spacing w:val="20"/>
      <w:sz w:val="24"/>
    </w:rPr>
  </w:style>
  <w:style w:type="paragraph" w:customStyle="1" w:styleId="136">
    <w:name w:val="Style Heading 3h3Heading 3 - oldLevel 3 HeadH3level_3PIM 3se..."/>
    <w:basedOn w:val="4"/>
    <w:qFormat/>
    <w:uiPriority w:val="0"/>
    <w:pPr>
      <w:numPr>
        <w:ilvl w:val="2"/>
        <w:numId w:val="10"/>
      </w:numPr>
      <w:jc w:val="both"/>
    </w:pPr>
    <w:rPr>
      <w:sz w:val="32"/>
    </w:rPr>
  </w:style>
  <w:style w:type="paragraph" w:customStyle="1" w:styleId="137">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38">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9">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40">
    <w:name w:val="Char"/>
    <w:basedOn w:val="1"/>
    <w:qFormat/>
    <w:uiPriority w:val="0"/>
    <w:pPr>
      <w:widowControl/>
      <w:spacing w:line="400" w:lineRule="exact"/>
      <w:jc w:val="center"/>
    </w:pPr>
    <w:rPr>
      <w:sz w:val="24"/>
    </w:rPr>
  </w:style>
  <w:style w:type="paragraph" w:customStyle="1" w:styleId="141">
    <w:name w:val="文本1"/>
    <w:basedOn w:val="1"/>
    <w:qFormat/>
    <w:uiPriority w:val="0"/>
    <w:pPr>
      <w:adjustRightInd w:val="0"/>
      <w:spacing w:line="312" w:lineRule="atLeast"/>
      <w:jc w:val="center"/>
      <w:textAlignment w:val="baseline"/>
    </w:pPr>
    <w:rPr>
      <w:kern w:val="0"/>
      <w:sz w:val="18"/>
    </w:rPr>
  </w:style>
  <w:style w:type="paragraph" w:customStyle="1" w:styleId="142">
    <w:name w:val="样式 标题 1 + 居中 段前: 6 磅 段后: 6 磅 行距: 1.5 倍行距"/>
    <w:basedOn w:val="2"/>
    <w:qFormat/>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143">
    <w:name w:val="00"/>
    <w:basedOn w:val="1"/>
    <w:qFormat/>
    <w:uiPriority w:val="0"/>
    <w:pPr>
      <w:autoSpaceDE w:val="0"/>
      <w:autoSpaceDN w:val="0"/>
      <w:adjustRightInd w:val="0"/>
      <w:jc w:val="left"/>
    </w:pPr>
    <w:rPr>
      <w:rFonts w:ascii="黑体" w:eastAsia="黑体"/>
      <w:b/>
      <w:kern w:val="0"/>
      <w:sz w:val="20"/>
    </w:rPr>
  </w:style>
  <w:style w:type="paragraph" w:customStyle="1" w:styleId="144">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45">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46">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47">
    <w:name w:val="样式3"/>
    <w:basedOn w:val="2"/>
    <w:next w:val="2"/>
    <w:qFormat/>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148">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49">
    <w:name w:val=" Char1 Char Char Char"/>
    <w:basedOn w:val="1"/>
    <w:qFormat/>
    <w:uiPriority w:val="0"/>
    <w:rPr>
      <w:rFonts w:ascii="Tahoma" w:hAnsi="Tahoma"/>
      <w:sz w:val="24"/>
    </w:rPr>
  </w:style>
  <w:style w:type="paragraph" w:customStyle="1" w:styleId="15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51">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52">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3">
    <w:name w:val="样式1"/>
    <w:basedOn w:val="5"/>
    <w:qFormat/>
    <w:uiPriority w:val="0"/>
    <w:pPr>
      <w:spacing w:before="500" w:after="260" w:line="560" w:lineRule="atLeast"/>
    </w:pPr>
  </w:style>
  <w:style w:type="paragraph" w:customStyle="1" w:styleId="154">
    <w:name w:val=" Char"/>
    <w:basedOn w:val="1"/>
    <w:qFormat/>
    <w:uiPriority w:val="0"/>
    <w:pPr>
      <w:spacing w:line="240" w:lineRule="atLeast"/>
      <w:ind w:left="420" w:firstLine="420"/>
    </w:pPr>
    <w:rPr>
      <w:kern w:val="0"/>
      <w:sz w:val="21"/>
    </w:rPr>
  </w:style>
  <w:style w:type="paragraph" w:customStyle="1" w:styleId="15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6">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57">
    <w:name w:val="样式 宋体 五号 行距: 单倍行距"/>
    <w:basedOn w:val="1"/>
    <w:qFormat/>
    <w:uiPriority w:val="0"/>
    <w:pPr>
      <w:adjustRightInd w:val="0"/>
      <w:jc w:val="left"/>
    </w:pPr>
    <w:rPr>
      <w:rFonts w:ascii="宋体" w:hAnsi="宋体"/>
      <w:kern w:val="0"/>
      <w:sz w:val="21"/>
    </w:rPr>
  </w:style>
  <w:style w:type="paragraph" w:customStyle="1" w:styleId="158">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59">
    <w:name w:val="摘要"/>
    <w:basedOn w:val="1"/>
    <w:next w:val="3"/>
    <w:qFormat/>
    <w:uiPriority w:val="0"/>
    <w:pPr>
      <w:spacing w:line="360" w:lineRule="auto"/>
    </w:pPr>
    <w:rPr>
      <w:rFonts w:eastAsia="黑体"/>
      <w:sz w:val="20"/>
    </w:rPr>
  </w:style>
  <w:style w:type="paragraph" w:customStyle="1" w:styleId="160">
    <w:name w:val="图片文字"/>
    <w:basedOn w:val="1"/>
    <w:qFormat/>
    <w:uiPriority w:val="0"/>
    <w:pPr>
      <w:spacing w:line="240" w:lineRule="atLeast"/>
      <w:jc w:val="center"/>
    </w:pPr>
    <w:rPr>
      <w:sz w:val="21"/>
    </w:rPr>
  </w:style>
  <w:style w:type="paragraph" w:customStyle="1" w:styleId="161">
    <w:name w:val="首行缩进 1"/>
    <w:basedOn w:val="1"/>
    <w:qFormat/>
    <w:uiPriority w:val="0"/>
    <w:pPr>
      <w:spacing w:after="120" w:afterLines="0" w:afterAutospacing="0" w:line="360" w:lineRule="auto"/>
      <w:ind w:firstLine="200" w:firstLineChars="200"/>
    </w:pPr>
    <w:rPr>
      <w:sz w:val="24"/>
    </w:rPr>
  </w:style>
  <w:style w:type="paragraph" w:customStyle="1" w:styleId="162">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63">
    <w:name w:val="表号"/>
    <w:basedOn w:val="1"/>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4">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65">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6">
    <w:name w:val="表格文本"/>
    <w:qFormat/>
    <w:uiPriority w:val="0"/>
    <w:pPr>
      <w:tabs>
        <w:tab w:val="decimal" w:pos="0"/>
      </w:tabs>
    </w:pPr>
    <w:rPr>
      <w:rFonts w:ascii="Arial" w:hAnsi="Arial" w:eastAsia="宋体" w:cs="Times New Roman"/>
      <w:sz w:val="21"/>
      <w:lang w:val="en-US" w:eastAsia="zh-CN" w:bidi="ar-SA"/>
    </w:rPr>
  </w:style>
  <w:style w:type="paragraph" w:customStyle="1" w:styleId="167">
    <w:name w:val="默认段落字体 Para Char Char Char Char Char Char Char Char Char1 Char Char Char Char"/>
    <w:basedOn w:val="1"/>
    <w:qFormat/>
    <w:uiPriority w:val="0"/>
    <w:rPr>
      <w:rFonts w:ascii="Tahoma" w:hAnsi="Tahoma"/>
      <w:sz w:val="24"/>
    </w:rPr>
  </w:style>
  <w:style w:type="paragraph" w:customStyle="1" w:styleId="168">
    <w:name w:val="样式 正文首行缩进 2 + 首行缩进:  2 字符"/>
    <w:basedOn w:val="1"/>
    <w:qFormat/>
    <w:uiPriority w:val="0"/>
    <w:pPr>
      <w:numPr>
        <w:ilvl w:val="0"/>
        <w:numId w:val="13"/>
      </w:numPr>
      <w:adjustRightInd w:val="0"/>
      <w:snapToGrid w:val="0"/>
      <w:spacing w:line="360" w:lineRule="auto"/>
    </w:pPr>
    <w:rPr>
      <w:rFonts w:ascii="Arial" w:hAnsi="Arial"/>
      <w:b/>
      <w:sz w:val="24"/>
    </w:rPr>
  </w:style>
  <w:style w:type="paragraph" w:customStyle="1" w:styleId="169">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70">
    <w:name w:val="样式 行距: 1.5 倍行距1"/>
    <w:basedOn w:val="1"/>
    <w:qFormat/>
    <w:uiPriority w:val="0"/>
    <w:pPr>
      <w:snapToGrid w:val="0"/>
    </w:pPr>
    <w:rPr>
      <w:sz w:val="21"/>
    </w:rPr>
  </w:style>
  <w:style w:type="paragraph" w:customStyle="1" w:styleId="17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2">
    <w:name w:val="内容标题"/>
    <w:basedOn w:val="17"/>
    <w:qFormat/>
    <w:uiPriority w:val="0"/>
    <w:rPr>
      <w:rFonts w:ascii="Tahoma" w:hAnsi="Tahoma"/>
      <w:sz w:val="24"/>
    </w:rPr>
  </w:style>
  <w:style w:type="paragraph" w:customStyle="1" w:styleId="173">
    <w:name w:val="样式2"/>
    <w:basedOn w:val="5"/>
    <w:qFormat/>
    <w:uiPriority w:val="0"/>
    <w:pPr>
      <w:numPr>
        <w:ilvl w:val="0"/>
        <w:numId w:val="14"/>
      </w:numPr>
      <w:spacing w:line="400" w:lineRule="exact"/>
      <w:jc w:val="center"/>
      <w:outlineLvl w:val="0"/>
    </w:pPr>
    <w:rPr>
      <w:b w:val="0"/>
      <w:sz w:val="44"/>
    </w:rPr>
  </w:style>
  <w:style w:type="paragraph" w:customStyle="1" w:styleId="174">
    <w:name w:val="标题2"/>
    <w:basedOn w:val="3"/>
    <w:qFormat/>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175">
    <w:name w:val="IN Feature"/>
    <w:next w:val="9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7">
    <w:name w:val=" Char Char1 Char"/>
    <w:basedOn w:val="1"/>
    <w:qFormat/>
    <w:uiPriority w:val="0"/>
    <w:rPr>
      <w:rFonts w:ascii="Tahoma" w:hAnsi="Tahoma"/>
      <w:sz w:val="24"/>
      <w:szCs w:val="24"/>
    </w:rPr>
  </w:style>
  <w:style w:type="paragraph" w:customStyle="1" w:styleId="178">
    <w:name w:val="Title - Date"/>
    <w:basedOn w:val="54"/>
    <w:next w:val="1"/>
    <w:qFormat/>
    <w:uiPriority w:val="0"/>
    <w:pPr>
      <w:spacing w:before="240" w:beforeLines="0" w:beforeAutospacing="0" w:after="720" w:afterLines="0" w:afterAutospacing="0"/>
    </w:pPr>
    <w:rPr>
      <w:sz w:val="28"/>
    </w:rPr>
  </w:style>
  <w:style w:type="paragraph" w:customStyle="1" w:styleId="179">
    <w:name w:val="Char Char1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180">
    <w:name w:val="文章正文"/>
    <w:basedOn w:val="1"/>
    <w:qFormat/>
    <w:uiPriority w:val="0"/>
    <w:pPr>
      <w:ind w:firstLine="560" w:firstLineChars="200"/>
    </w:pPr>
    <w:rPr>
      <w:rFonts w:ascii="仿宋_GB2312" w:hAnsi="宋体" w:eastAsia="仿宋_GB2312"/>
      <w:color w:val="000000"/>
    </w:rPr>
  </w:style>
  <w:style w:type="paragraph" w:customStyle="1" w:styleId="181">
    <w:name w:val=" Char Char Char"/>
    <w:basedOn w:val="1"/>
    <w:qFormat/>
    <w:uiPriority w:val="0"/>
    <w:rPr>
      <w:rFonts w:ascii="Tahoma" w:hAnsi="Tahoma"/>
      <w:sz w:val="24"/>
    </w:rPr>
  </w:style>
  <w:style w:type="paragraph" w:customStyle="1" w:styleId="182">
    <w:name w:val="样式4"/>
    <w:basedOn w:val="5"/>
    <w:qFormat/>
    <w:uiPriority w:val="0"/>
    <w:pPr>
      <w:numPr>
        <w:ilvl w:val="0"/>
        <w:numId w:val="0"/>
      </w:numPr>
      <w:adjustRightInd w:val="0"/>
      <w:snapToGrid w:val="0"/>
      <w:spacing w:before="280" w:beforeLines="0" w:beforeAutospacing="0" w:line="372" w:lineRule="auto"/>
    </w:pPr>
  </w:style>
  <w:style w:type="paragraph" w:customStyle="1" w:styleId="183">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8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5">
    <w:name w:val="正文（首行不缩进）"/>
    <w:basedOn w:val="1"/>
    <w:qFormat/>
    <w:uiPriority w:val="0"/>
    <w:pPr>
      <w:autoSpaceDE w:val="0"/>
      <w:autoSpaceDN w:val="0"/>
      <w:adjustRightInd w:val="0"/>
      <w:spacing w:line="360" w:lineRule="auto"/>
      <w:jc w:val="left"/>
    </w:pPr>
    <w:rPr>
      <w:kern w:val="0"/>
      <w:sz w:val="21"/>
    </w:rPr>
  </w:style>
  <w:style w:type="paragraph" w:customStyle="1" w:styleId="186">
    <w:name w:val="Item Step in Table"/>
    <w:qFormat/>
    <w:uiPriority w:val="0"/>
    <w:pPr>
      <w:numPr>
        <w:ilvl w:val="0"/>
        <w:numId w:val="15"/>
      </w:numPr>
      <w:spacing w:before="40" w:after="40"/>
      <w:jc w:val="both"/>
    </w:pPr>
    <w:rPr>
      <w:rFonts w:ascii="Arial" w:hAnsi="Arial" w:eastAsia="宋体" w:cs="Times New Roman"/>
      <w:sz w:val="18"/>
      <w:lang w:val="en-US" w:eastAsia="zh-CN" w:bidi="ar-SA"/>
    </w:rPr>
  </w:style>
  <w:style w:type="paragraph" w:customStyle="1" w:styleId="187">
    <w:name w:val="_Style 186"/>
    <w:qFormat/>
    <w:uiPriority w:val="0"/>
    <w:rPr>
      <w:rFonts w:ascii="Times New Roman" w:hAnsi="Times New Roman" w:eastAsia="宋体" w:cs="Times New Roman"/>
      <w:kern w:val="2"/>
      <w:sz w:val="21"/>
      <w:lang w:val="en-US" w:eastAsia="zh-CN" w:bidi="ar-SA"/>
    </w:rPr>
  </w:style>
  <w:style w:type="paragraph" w:customStyle="1" w:styleId="18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9">
    <w:name w:val=" Char Char Char Char Char"/>
    <w:basedOn w:val="1"/>
    <w:qFormat/>
    <w:uiPriority w:val="0"/>
    <w:pPr>
      <w:numPr>
        <w:ilvl w:val="0"/>
        <w:numId w:val="10"/>
      </w:numPr>
    </w:pPr>
    <w:rPr>
      <w:rFonts w:ascii="Tahoma" w:hAnsi="Tahoma"/>
      <w:sz w:val="24"/>
    </w:rPr>
  </w:style>
  <w:style w:type="paragraph" w:customStyle="1" w:styleId="190">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91">
    <w:name w:val="表格内文字"/>
    <w:basedOn w:val="31"/>
    <w:qFormat/>
    <w:uiPriority w:val="0"/>
    <w:pPr>
      <w:snapToGrid/>
      <w:spacing w:line="240" w:lineRule="auto"/>
    </w:pPr>
    <w:rPr>
      <w:color w:val="000000"/>
      <w:lang w:val="en-GB"/>
    </w:rPr>
  </w:style>
  <w:style w:type="paragraph" w:customStyle="1" w:styleId="192">
    <w:name w:val="正文1"/>
    <w:basedOn w:val="1"/>
    <w:qFormat/>
    <w:uiPriority w:val="0"/>
    <w:pPr>
      <w:spacing w:line="300" w:lineRule="auto"/>
      <w:ind w:firstLine="200" w:firstLineChars="200"/>
    </w:pPr>
    <w:rPr>
      <w:sz w:val="24"/>
    </w:rPr>
  </w:style>
  <w:style w:type="paragraph" w:customStyle="1" w:styleId="19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4">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95">
    <w:name w:val="表文字"/>
    <w:qFormat/>
    <w:uiPriority w:val="0"/>
    <w:rPr>
      <w:rFonts w:ascii="宋体" w:hAnsi="Times New Roman" w:eastAsia="宋体" w:cs="Times New Roman"/>
      <w:kern w:val="2"/>
      <w:lang w:val="en-US" w:eastAsia="zh-CN" w:bidi="ar-SA"/>
    </w:rPr>
  </w:style>
  <w:style w:type="paragraph" w:customStyle="1" w:styleId="196">
    <w:name w:val="可研正文"/>
    <w:basedOn w:val="22"/>
    <w:qFormat/>
    <w:uiPriority w:val="0"/>
    <w:pPr>
      <w:adjustRightInd w:val="0"/>
      <w:snapToGrid w:val="0"/>
      <w:spacing w:line="440" w:lineRule="exact"/>
      <w:ind w:firstLine="567"/>
    </w:pPr>
    <w:rPr>
      <w:sz w:val="28"/>
    </w:rPr>
  </w:style>
  <w:style w:type="paragraph" w:customStyle="1" w:styleId="19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98">
    <w:name w:val="正文 + 三号"/>
    <w:basedOn w:val="1"/>
    <w:qFormat/>
    <w:uiPriority w:val="0"/>
    <w:rPr>
      <w:rFonts w:eastAsia="宋体"/>
      <w:kern w:val="2"/>
      <w:sz w:val="21"/>
      <w:lang w:val="en-US" w:eastAsia="zh-CN"/>
    </w:rPr>
  </w:style>
  <w:style w:type="paragraph" w:customStyle="1" w:styleId="199">
    <w:name w:val="表头文本"/>
    <w:qFormat/>
    <w:uiPriority w:val="0"/>
    <w:pPr>
      <w:jc w:val="center"/>
    </w:pPr>
    <w:rPr>
      <w:rFonts w:ascii="Arial" w:hAnsi="Arial" w:eastAsia="宋体" w:cs="Times New Roman"/>
      <w:b/>
      <w:sz w:val="21"/>
      <w:lang w:val="en-US" w:eastAsia="zh-CN" w:bidi="ar-SA"/>
    </w:rPr>
  </w:style>
  <w:style w:type="paragraph" w:customStyle="1" w:styleId="20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201">
    <w:name w:val="Table Contents"/>
    <w:basedOn w:val="22"/>
    <w:qFormat/>
    <w:uiPriority w:val="0"/>
    <w:pPr>
      <w:suppressAutoHyphens/>
      <w:jc w:val="left"/>
    </w:pPr>
    <w:rPr>
      <w:rFonts w:ascii="Times New Roman" w:eastAsia="Times New Roman"/>
      <w:kern w:val="0"/>
      <w:sz w:val="24"/>
    </w:rPr>
  </w:style>
  <w:style w:type="paragraph" w:customStyle="1" w:styleId="202">
    <w:name w:val=" Char Char 字元 字元 字元 Char Char Char Char"/>
    <w:basedOn w:val="1"/>
    <w:qFormat/>
    <w:uiPriority w:val="0"/>
    <w:pPr>
      <w:adjustRightInd w:val="0"/>
      <w:spacing w:line="360" w:lineRule="auto"/>
    </w:pPr>
    <w:rPr>
      <w:kern w:val="0"/>
      <w:sz w:val="24"/>
    </w:rPr>
  </w:style>
  <w:style w:type="paragraph" w:customStyle="1" w:styleId="203">
    <w:name w:val="Char Char Char Char Char Char Char"/>
    <w:basedOn w:val="17"/>
    <w:qFormat/>
    <w:uiPriority w:val="0"/>
    <w:rPr>
      <w:rFonts w:ascii="宋体" w:hAnsi="Tahoma"/>
    </w:rPr>
  </w:style>
  <w:style w:type="paragraph" w:customStyle="1" w:styleId="20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05">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06">
    <w:name w:val="表头样式"/>
    <w:basedOn w:val="1"/>
    <w:qFormat/>
    <w:uiPriority w:val="0"/>
    <w:pPr>
      <w:autoSpaceDE w:val="0"/>
      <w:autoSpaceDN w:val="0"/>
      <w:adjustRightInd w:val="0"/>
      <w:spacing w:line="360" w:lineRule="auto"/>
      <w:jc w:val="left"/>
    </w:pPr>
    <w:rPr>
      <w:b/>
      <w:kern w:val="0"/>
      <w:sz w:val="21"/>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8">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09">
    <w:name w:val="样式 正文缩进正文（首行缩进两字）表正文正文非缩进特点标题4段1 + 首行缩进:  2 字符"/>
    <w:basedOn w:val="15"/>
    <w:qFormat/>
    <w:uiPriority w:val="0"/>
    <w:pPr>
      <w:ind w:firstLine="480" w:firstLineChars="200"/>
    </w:pPr>
  </w:style>
  <w:style w:type="paragraph" w:customStyle="1" w:styleId="210">
    <w:name w:val="Note"/>
    <w:basedOn w:val="1"/>
    <w:qFormat/>
    <w:uiPriority w:val="0"/>
    <w:pPr>
      <w:pBdr>
        <w:top w:val="single" w:color="auto" w:sz="12" w:space="3"/>
        <w:bottom w:val="single" w:color="auto" w:sz="12" w:space="3"/>
      </w:pBdr>
      <w:spacing w:line="360" w:lineRule="auto"/>
    </w:pPr>
    <w:rPr>
      <w:sz w:val="24"/>
    </w:rPr>
  </w:style>
  <w:style w:type="paragraph" w:customStyle="1" w:styleId="21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2">
    <w:name w:val="首行缩进"/>
    <w:basedOn w:val="1"/>
    <w:qFormat/>
    <w:uiPriority w:val="0"/>
    <w:pPr>
      <w:spacing w:line="360" w:lineRule="auto"/>
      <w:ind w:firstLine="420" w:firstLineChars="200"/>
    </w:pPr>
    <w:rPr>
      <w:sz w:val="21"/>
    </w:rPr>
  </w:style>
  <w:style w:type="paragraph" w:customStyle="1" w:styleId="213">
    <w:name w:val="Body Text Indent 2"/>
    <w:basedOn w:val="1"/>
    <w:qFormat/>
    <w:uiPriority w:val="0"/>
    <w:pPr>
      <w:adjustRightInd w:val="0"/>
      <w:spacing w:before="120" w:beforeLines="0" w:beforeAutospacing="0"/>
      <w:ind w:firstLine="420"/>
      <w:textAlignment w:val="baseline"/>
    </w:pPr>
    <w:rPr>
      <w:sz w:val="24"/>
    </w:rPr>
  </w:style>
  <w:style w:type="paragraph" w:customStyle="1" w:styleId="21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15">
    <w:name w:val="home"/>
    <w:basedOn w:val="1"/>
    <w:qFormat/>
    <w:uiPriority w:val="0"/>
    <w:pPr>
      <w:widowControl/>
      <w:spacing w:before="100" w:beforeAutospacing="1" w:after="100" w:afterAutospacing="1"/>
      <w:jc w:val="left"/>
    </w:pPr>
    <w:rPr>
      <w:rFonts w:ascii="宋体" w:hAnsi="宋体" w:cs="宋体"/>
      <w:kern w:val="0"/>
      <w:sz w:val="24"/>
      <w:szCs w:val="24"/>
    </w:rPr>
  </w:style>
  <w:style w:type="paragraph" w:styleId="216">
    <w:name w:val="List Paragraph"/>
    <w:basedOn w:val="1"/>
    <w:link w:val="217"/>
    <w:qFormat/>
    <w:uiPriority w:val="34"/>
    <w:pPr>
      <w:spacing w:line="360" w:lineRule="auto"/>
      <w:ind w:firstLine="420" w:firstLineChars="200"/>
    </w:pPr>
    <w:rPr>
      <w:rFonts w:ascii="Arial" w:hAnsi="Arial"/>
      <w:sz w:val="24"/>
    </w:rPr>
  </w:style>
  <w:style w:type="character" w:customStyle="1" w:styleId="217">
    <w:name w:val="列出段落 Char"/>
    <w:link w:val="216"/>
    <w:qFormat/>
    <w:uiPriority w:val="34"/>
    <w:rPr>
      <w:rFonts w:ascii="Arial" w:hAnsi="Arial"/>
      <w:kern w:val="2"/>
      <w:sz w:val="24"/>
    </w:rPr>
  </w:style>
  <w:style w:type="character" w:customStyle="1" w:styleId="218">
    <w:name w:val="样式 正文缩进 + 首行缩进:  2 字符 Char"/>
    <w:link w:val="219"/>
    <w:qFormat/>
    <w:uiPriority w:val="0"/>
    <w:rPr>
      <w:rFonts w:cs="宋体"/>
      <w:kern w:val="2"/>
      <w:sz w:val="24"/>
    </w:rPr>
  </w:style>
  <w:style w:type="paragraph" w:customStyle="1" w:styleId="219">
    <w:name w:val="样式 正文缩进 + 首行缩进:  2 字符"/>
    <w:basedOn w:val="15"/>
    <w:link w:val="218"/>
    <w:qFormat/>
    <w:uiPriority w:val="0"/>
    <w:pPr>
      <w:adjustRightInd/>
      <w:snapToGrid/>
      <w:ind w:firstLine="200" w:firstLineChars="200"/>
    </w:pPr>
  </w:style>
  <w:style w:type="character" w:customStyle="1" w:styleId="220">
    <w:name w:val="方案正文 Char"/>
    <w:link w:val="221"/>
    <w:qFormat/>
    <w:locked/>
    <w:uiPriority w:val="0"/>
    <w:rPr>
      <w:rFonts w:ascii="华文细黑" w:hAnsi="华文细黑" w:eastAsia="华文细黑"/>
      <w:sz w:val="24"/>
      <w:szCs w:val="24"/>
    </w:rPr>
  </w:style>
  <w:style w:type="paragraph" w:customStyle="1" w:styleId="221">
    <w:name w:val="方案正文"/>
    <w:basedOn w:val="1"/>
    <w:link w:val="220"/>
    <w:qFormat/>
    <w:uiPriority w:val="0"/>
    <w:pPr>
      <w:spacing w:before="120" w:line="360" w:lineRule="auto"/>
      <w:ind w:firstLine="425" w:firstLineChars="177"/>
    </w:pPr>
    <w:rPr>
      <w:rFonts w:ascii="华文细黑" w:hAnsi="华文细黑" w:eastAsia="华文细黑"/>
      <w:kern w:val="0"/>
      <w:sz w:val="24"/>
      <w:szCs w:val="24"/>
    </w:rPr>
  </w:style>
  <w:style w:type="paragraph" w:customStyle="1" w:styleId="222">
    <w:name w:val="列表段落2"/>
    <w:basedOn w:val="1"/>
    <w:qFormat/>
    <w:uiPriority w:val="99"/>
    <w:pPr>
      <w:ind w:firstLine="420" w:firstLineChars="200"/>
    </w:pPr>
    <w:rPr>
      <w:sz w:val="21"/>
    </w:rPr>
  </w:style>
  <w:style w:type="paragraph" w:customStyle="1" w:styleId="223">
    <w:name w:val="列表段落1"/>
    <w:basedOn w:val="1"/>
    <w:qFormat/>
    <w:uiPriority w:val="0"/>
    <w:pPr>
      <w:spacing w:line="360" w:lineRule="auto"/>
      <w:ind w:firstLine="420" w:firstLineChars="200"/>
    </w:pPr>
    <w:rPr>
      <w:rFonts w:hint="eastAsia" w:ascii="宋体" w:hAnsi="宋体"/>
      <w:sz w:val="24"/>
    </w:rPr>
  </w:style>
  <w:style w:type="character" w:customStyle="1" w:styleId="224">
    <w:name w:val="font41"/>
    <w:basedOn w:val="6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3580</Words>
  <Characters>20412</Characters>
  <Lines>170</Lines>
  <Paragraphs>47</Paragraphs>
  <TotalTime>5</TotalTime>
  <ScaleCrop>false</ScaleCrop>
  <LinksUpToDate>false</LinksUpToDate>
  <CharactersWithSpaces>23945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2021-06-01T09:31:00Z</dcterms:created>
  <dc:creator>admin</dc:creator>
  <cp:lastModifiedBy>牧羊人</cp:lastModifiedBy>
  <cp:lastPrinted>2021-06-17T02:56:00Z</cp:lastPrinted>
  <dcterms:modified xsi:type="dcterms:W3CDTF">2022-02-25T03:40:27Z</dcterms:modified>
  <dc:title>货物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D69AF44B045A488E86735447E5E2904F</vt:lpwstr>
  </property>
</Properties>
</file>