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rPr>
      </w:pPr>
      <w:r>
        <w:rPr>
          <w:rFonts w:hint="eastAsia" w:ascii="宋体" w:hAnsi="宋体"/>
        </w:rPr>
        <w:t xml:space="preserve"> </w:t>
      </w:r>
    </w:p>
    <w:p>
      <w:pPr>
        <w:spacing w:line="360" w:lineRule="auto"/>
        <w:jc w:val="center"/>
        <w:rPr>
          <w:rFonts w:ascii="宋体" w:hAnsi="宋体"/>
          <w:b/>
          <w:sz w:val="72"/>
          <w:szCs w:val="44"/>
        </w:rPr>
      </w:pPr>
      <w:r>
        <w:rPr>
          <w:rFonts w:hint="eastAsia" w:ascii="宋体" w:hAnsi="宋体"/>
          <w:b/>
          <w:sz w:val="72"/>
          <w:szCs w:val="44"/>
        </w:rPr>
        <w:t>竞争性磋商文件</w:t>
      </w:r>
    </w:p>
    <w:p>
      <w:pPr>
        <w:pStyle w:val="23"/>
        <w:spacing w:line="360" w:lineRule="auto"/>
        <w:ind w:left="0"/>
        <w:jc w:val="center"/>
        <w:rPr>
          <w:rFonts w:ascii="宋体" w:hAnsi="宋体"/>
          <w:b/>
          <w:sz w:val="32"/>
        </w:rPr>
      </w:pPr>
    </w:p>
    <w:p>
      <w:pPr>
        <w:pStyle w:val="23"/>
        <w:spacing w:line="360" w:lineRule="auto"/>
        <w:ind w:left="0"/>
        <w:jc w:val="center"/>
        <w:rPr>
          <w:rFonts w:ascii="宋体" w:hAnsi="宋体"/>
          <w:b/>
          <w:sz w:val="32"/>
        </w:rPr>
      </w:pPr>
    </w:p>
    <w:p>
      <w:pPr>
        <w:pStyle w:val="23"/>
        <w:spacing w:line="360" w:lineRule="auto"/>
        <w:ind w:left="0"/>
        <w:jc w:val="center"/>
        <w:rPr>
          <w:rFonts w:ascii="宋体" w:hAnsi="宋体"/>
          <w:b/>
          <w:sz w:val="32"/>
        </w:rPr>
      </w:pPr>
    </w:p>
    <w:p>
      <w:pPr>
        <w:pStyle w:val="23"/>
        <w:spacing w:line="360" w:lineRule="auto"/>
        <w:ind w:left="0"/>
        <w:jc w:val="center"/>
        <w:rPr>
          <w:rFonts w:ascii="宋体" w:hAnsi="宋体"/>
          <w:b/>
          <w:sz w:val="44"/>
          <w:szCs w:val="44"/>
        </w:rPr>
      </w:pPr>
    </w:p>
    <w:p>
      <w:pPr>
        <w:spacing w:line="360" w:lineRule="auto"/>
        <w:ind w:left="1417" w:leftChars="506"/>
        <w:jc w:val="left"/>
        <w:rPr>
          <w:rFonts w:ascii="宋体" w:hAnsi="宋体"/>
          <w:b/>
          <w:sz w:val="44"/>
          <w:szCs w:val="44"/>
        </w:rPr>
      </w:pPr>
      <w:r>
        <w:rPr>
          <w:rFonts w:hint="eastAsia" w:ascii="宋体" w:hAnsi="宋体"/>
          <w:b/>
          <w:sz w:val="44"/>
          <w:szCs w:val="44"/>
        </w:rPr>
        <w:t>项目编号：2022JYXX-10</w:t>
      </w:r>
    </w:p>
    <w:p>
      <w:pPr>
        <w:spacing w:line="360" w:lineRule="auto"/>
        <w:ind w:left="1417" w:leftChars="506"/>
        <w:jc w:val="left"/>
        <w:rPr>
          <w:rFonts w:ascii="宋体" w:hAnsi="宋体"/>
          <w:b/>
          <w:sz w:val="44"/>
          <w:szCs w:val="44"/>
        </w:rPr>
      </w:pPr>
      <w:r>
        <w:rPr>
          <w:rFonts w:hint="eastAsia" w:ascii="宋体" w:hAnsi="宋体"/>
          <w:b/>
          <w:sz w:val="44"/>
          <w:szCs w:val="44"/>
        </w:rPr>
        <w:t>项目名称：单病种系统</w:t>
      </w:r>
    </w:p>
    <w:p>
      <w:pPr>
        <w:spacing w:line="360" w:lineRule="auto"/>
        <w:jc w:val="center"/>
        <w:rPr>
          <w:rFonts w:ascii="宋体" w:hAnsi="宋体"/>
        </w:rPr>
      </w:pPr>
    </w:p>
    <w:p>
      <w:pPr>
        <w:spacing w:line="360" w:lineRule="auto"/>
        <w:jc w:val="center"/>
        <w:rPr>
          <w:rFonts w:ascii="宋体" w:hAnsi="宋体"/>
        </w:rPr>
      </w:pPr>
    </w:p>
    <w:p>
      <w:pPr>
        <w:spacing w:line="360" w:lineRule="auto"/>
        <w:outlineLvl w:val="9"/>
      </w:pPr>
    </w:p>
    <w:p>
      <w:pPr>
        <w:spacing w:line="360" w:lineRule="auto"/>
        <w:outlineLvl w:val="9"/>
      </w:pPr>
    </w:p>
    <w:p>
      <w:pPr>
        <w:outlineLvl w:val="9"/>
      </w:pPr>
    </w:p>
    <w:p>
      <w:pPr>
        <w:outlineLvl w:val="9"/>
      </w:pPr>
    </w:p>
    <w:p>
      <w:pPr>
        <w:outlineLvl w:val="9"/>
      </w:pPr>
    </w:p>
    <w:p>
      <w:pPr>
        <w:pStyle w:val="28"/>
        <w:framePr w:wrap="around"/>
        <w:outlineLvl w:val="9"/>
      </w:pPr>
    </w:p>
    <w:p>
      <w:pPr>
        <w:spacing w:line="360" w:lineRule="auto"/>
        <w:outlineLvl w:val="9"/>
      </w:pPr>
    </w:p>
    <w:p>
      <w:pPr>
        <w:pStyle w:val="28"/>
        <w:framePr w:wrap="around"/>
      </w:pPr>
    </w:p>
    <w:p>
      <w:pPr>
        <w:spacing w:line="360" w:lineRule="auto"/>
      </w:pPr>
    </w:p>
    <w:p>
      <w:pPr>
        <w:spacing w:line="360" w:lineRule="auto"/>
        <w:ind w:firstLine="2260" w:firstLineChars="628"/>
        <w:jc w:val="left"/>
        <w:rPr>
          <w:rFonts w:ascii="宋体" w:hAnsi="宋体"/>
          <w:sz w:val="36"/>
        </w:rPr>
      </w:pPr>
    </w:p>
    <w:p/>
    <w:p>
      <w:pPr>
        <w:spacing w:line="360" w:lineRule="auto"/>
        <w:ind w:firstLine="2260" w:firstLineChars="628"/>
        <w:jc w:val="left"/>
        <w:rPr>
          <w:rFonts w:ascii="宋体" w:hAnsi="宋体"/>
          <w:sz w:val="36"/>
        </w:rPr>
      </w:pPr>
      <w:r>
        <w:rPr>
          <w:rFonts w:hint="eastAsia" w:ascii="宋体" w:hAnsi="宋体"/>
          <w:sz w:val="36"/>
        </w:rPr>
        <w:t>采购人：重庆市第九人民医院</w:t>
      </w:r>
    </w:p>
    <w:p>
      <w:pPr>
        <w:spacing w:line="360" w:lineRule="auto"/>
        <w:jc w:val="center"/>
        <w:rPr>
          <w:rFonts w:ascii="宋体" w:hAnsi="宋体"/>
          <w:sz w:val="40"/>
          <w:szCs w:val="18"/>
        </w:rPr>
      </w:pPr>
      <w:r>
        <w:rPr>
          <w:rFonts w:hint="eastAsia" w:ascii="宋体" w:hAnsi="宋体"/>
          <w:sz w:val="40"/>
          <w:szCs w:val="18"/>
        </w:rPr>
        <w:t>二〇二二年二月</w:t>
      </w:r>
    </w:p>
    <w:p>
      <w:pPr>
        <w:snapToGrid w:val="0"/>
        <w:spacing w:line="360" w:lineRule="auto"/>
        <w:rPr>
          <w:rFonts w:ascii="宋体" w:hAnsi="宋体"/>
          <w:sz w:val="4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pPr>
        <w:snapToGrid w:val="0"/>
        <w:spacing w:line="360" w:lineRule="auto"/>
        <w:jc w:val="center"/>
        <w:rPr>
          <w:rFonts w:ascii="宋体" w:hAnsi="宋体"/>
          <w:sz w:val="44"/>
        </w:rPr>
      </w:pPr>
      <w:r>
        <w:rPr>
          <w:rFonts w:hint="eastAsia" w:ascii="宋体" w:hAnsi="宋体"/>
          <w:sz w:val="44"/>
        </w:rPr>
        <w:t>目  录</w:t>
      </w:r>
    </w:p>
    <w:p>
      <w:pPr>
        <w:pStyle w:val="38"/>
        <w:tabs>
          <w:tab w:val="right" w:leader="dot" w:pos="9412"/>
          <w:tab w:val="clear" w:pos="1260"/>
          <w:tab w:val="clear" w:pos="1685"/>
          <w:tab w:val="clear" w:pos="8400"/>
        </w:tabs>
      </w:pPr>
      <w:r>
        <w:rPr>
          <w:rFonts w:hint="eastAsia" w:ascii="宋体" w:hAnsi="宋体"/>
          <w:sz w:val="21"/>
          <w:szCs w:val="21"/>
        </w:rPr>
        <w:fldChar w:fldCharType="begin"/>
      </w:r>
      <w:r>
        <w:rPr>
          <w:rFonts w:hint="eastAsia" w:ascii="宋体" w:hAnsi="宋体"/>
          <w:sz w:val="21"/>
          <w:szCs w:val="21"/>
        </w:rPr>
        <w:instrText xml:space="preserve"> TOC \o "1-2" \h \z </w:instrText>
      </w:r>
      <w:r>
        <w:rPr>
          <w:rFonts w:hint="eastAsia" w:ascii="宋体" w:hAnsi="宋体"/>
          <w:sz w:val="21"/>
          <w:szCs w:val="21"/>
        </w:rPr>
        <w:fldChar w:fldCharType="separate"/>
      </w:r>
      <w:r>
        <w:rPr>
          <w:rFonts w:hint="eastAsia" w:ascii="宋体" w:hAnsi="宋体"/>
          <w:szCs w:val="21"/>
        </w:rPr>
        <w:fldChar w:fldCharType="begin"/>
      </w:r>
      <w:r>
        <w:rPr>
          <w:rFonts w:hint="eastAsia" w:ascii="宋体" w:hAnsi="宋体"/>
          <w:szCs w:val="21"/>
        </w:rPr>
        <w:instrText xml:space="preserve"> HYPERLINK \l _Toc3981 </w:instrText>
      </w:r>
      <w:r>
        <w:rPr>
          <w:rFonts w:hint="eastAsia" w:ascii="宋体" w:hAnsi="宋体"/>
          <w:szCs w:val="21"/>
        </w:rPr>
        <w:fldChar w:fldCharType="separate"/>
      </w:r>
      <w:r>
        <w:rPr>
          <w:rFonts w:hint="default" w:ascii="宋体" w:hAnsi="宋体" w:eastAsia="宋体"/>
        </w:rPr>
        <w:t xml:space="preserve">第一篇 </w:t>
      </w:r>
      <w:r>
        <w:rPr>
          <w:rFonts w:hint="eastAsia" w:ascii="宋体" w:hAnsi="宋体" w:eastAsia="宋体"/>
        </w:rPr>
        <w:t>竞争性磋商邀请书</w:t>
      </w:r>
      <w:r>
        <w:tab/>
      </w:r>
      <w:r>
        <w:fldChar w:fldCharType="begin"/>
      </w:r>
      <w:r>
        <w:instrText xml:space="preserve"> PAGEREF _Toc3981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_Toc16966 </w:instrText>
      </w:r>
      <w:r>
        <w:rPr>
          <w:rFonts w:hint="eastAsia" w:ascii="宋体" w:hAnsi="宋体"/>
          <w:szCs w:val="21"/>
        </w:rPr>
        <w:fldChar w:fldCharType="separate"/>
      </w:r>
      <w:r>
        <w:rPr>
          <w:rFonts w:hint="eastAsia"/>
        </w:rPr>
        <w:t>一、项目内容</w:t>
      </w:r>
      <w:r>
        <w:tab/>
      </w:r>
      <w:r>
        <w:fldChar w:fldCharType="begin"/>
      </w:r>
      <w:r>
        <w:instrText xml:space="preserve"> PAGEREF _Toc16966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_Toc2911 </w:instrText>
      </w:r>
      <w:r>
        <w:rPr>
          <w:rFonts w:hint="eastAsia" w:ascii="宋体" w:hAnsi="宋体"/>
          <w:szCs w:val="21"/>
        </w:rPr>
        <w:fldChar w:fldCharType="separate"/>
      </w:r>
      <w:r>
        <w:rPr>
          <w:rFonts w:hint="eastAsia"/>
        </w:rPr>
        <w:t>二、供应商资格要求</w:t>
      </w:r>
      <w:r>
        <w:tab/>
      </w:r>
      <w:r>
        <w:fldChar w:fldCharType="begin"/>
      </w:r>
      <w:r>
        <w:instrText xml:space="preserve"> PAGEREF _Toc2911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_Toc7870 </w:instrText>
      </w:r>
      <w:r>
        <w:rPr>
          <w:rFonts w:hint="eastAsia" w:ascii="宋体" w:hAnsi="宋体"/>
          <w:szCs w:val="21"/>
        </w:rPr>
        <w:fldChar w:fldCharType="separate"/>
      </w:r>
      <w:r>
        <w:rPr>
          <w:rFonts w:hint="eastAsia"/>
          <w:lang w:eastAsia="zh-CN"/>
        </w:rPr>
        <w:t>三</w:t>
      </w:r>
      <w:r>
        <w:rPr>
          <w:rFonts w:hint="eastAsia"/>
        </w:rPr>
        <w:t>、磋商报名</w:t>
      </w:r>
      <w:r>
        <w:tab/>
      </w:r>
      <w:r>
        <w:fldChar w:fldCharType="begin"/>
      </w:r>
      <w:r>
        <w:instrText xml:space="preserve"> PAGEREF _Toc7870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_Toc8528 </w:instrText>
      </w:r>
      <w:r>
        <w:rPr>
          <w:rFonts w:hint="eastAsia" w:ascii="宋体" w:hAnsi="宋体"/>
          <w:szCs w:val="21"/>
        </w:rPr>
        <w:fldChar w:fldCharType="separate"/>
      </w:r>
      <w:r>
        <w:rPr>
          <w:rFonts w:hint="eastAsia"/>
          <w:lang w:eastAsia="zh-CN"/>
        </w:rPr>
        <w:t>四</w:t>
      </w:r>
      <w:r>
        <w:rPr>
          <w:rFonts w:hint="eastAsia"/>
        </w:rPr>
        <w:t>、投标文件递交与磋商</w:t>
      </w:r>
      <w:r>
        <w:tab/>
      </w:r>
      <w:r>
        <w:fldChar w:fldCharType="begin"/>
      </w:r>
      <w:r>
        <w:instrText xml:space="preserve"> PAGEREF _Toc8528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_Toc2424 </w:instrText>
      </w:r>
      <w:r>
        <w:rPr>
          <w:rFonts w:hint="eastAsia" w:ascii="宋体" w:hAnsi="宋体"/>
          <w:szCs w:val="21"/>
        </w:rPr>
        <w:fldChar w:fldCharType="separate"/>
      </w:r>
      <w:r>
        <w:rPr>
          <w:rFonts w:hint="eastAsia"/>
          <w:lang w:eastAsia="zh-CN"/>
        </w:rPr>
        <w:t>五</w:t>
      </w:r>
      <w:r>
        <w:rPr>
          <w:rFonts w:hint="eastAsia"/>
        </w:rPr>
        <w:t>、采购人联系方式</w:t>
      </w:r>
      <w:r>
        <w:tab/>
      </w:r>
      <w:r>
        <w:fldChar w:fldCharType="begin"/>
      </w:r>
      <w:r>
        <w:instrText xml:space="preserve"> PAGEREF _Toc2424 \h </w:instrText>
      </w:r>
      <w:r>
        <w:fldChar w:fldCharType="separate"/>
      </w:r>
      <w:r>
        <w:t>- 3 -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_Toc20374 </w:instrText>
      </w:r>
      <w:r>
        <w:rPr>
          <w:rFonts w:hint="eastAsia" w:ascii="宋体" w:hAnsi="宋体"/>
          <w:szCs w:val="21"/>
        </w:rPr>
        <w:fldChar w:fldCharType="separate"/>
      </w:r>
      <w:r>
        <w:rPr>
          <w:rFonts w:hint="eastAsia"/>
        </w:rPr>
        <w:t>六、磋商保证金</w:t>
      </w:r>
      <w:r>
        <w:tab/>
      </w:r>
      <w:r>
        <w:fldChar w:fldCharType="begin"/>
      </w:r>
      <w:r>
        <w:instrText xml:space="preserve"> PAGEREF _Toc20374 \h </w:instrText>
      </w:r>
      <w:r>
        <w:fldChar w:fldCharType="separate"/>
      </w:r>
      <w:r>
        <w:t>- 3 -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_Toc22248 </w:instrText>
      </w:r>
      <w:r>
        <w:rPr>
          <w:rFonts w:hint="eastAsia" w:ascii="宋体" w:hAnsi="宋体"/>
          <w:szCs w:val="21"/>
        </w:rPr>
        <w:fldChar w:fldCharType="separate"/>
      </w:r>
      <w:r>
        <w:rPr>
          <w:rFonts w:hint="eastAsia"/>
        </w:rPr>
        <w:t>七、采购项目需落实的政府采购政策</w:t>
      </w:r>
      <w:r>
        <w:tab/>
      </w:r>
      <w:r>
        <w:fldChar w:fldCharType="begin"/>
      </w:r>
      <w:r>
        <w:instrText xml:space="preserve"> PAGEREF _Toc22248 \h </w:instrText>
      </w:r>
      <w:r>
        <w:fldChar w:fldCharType="separate"/>
      </w:r>
      <w:r>
        <w:t>- 3 -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_Toc29599 </w:instrText>
      </w:r>
      <w:r>
        <w:rPr>
          <w:rFonts w:hint="eastAsia" w:ascii="宋体" w:hAnsi="宋体"/>
          <w:szCs w:val="21"/>
        </w:rPr>
        <w:fldChar w:fldCharType="separate"/>
      </w:r>
      <w:r>
        <w:rPr>
          <w:rFonts w:hint="eastAsia"/>
        </w:rPr>
        <w:t>八、磋商有关规定</w:t>
      </w:r>
      <w:r>
        <w:tab/>
      </w:r>
      <w:r>
        <w:fldChar w:fldCharType="begin"/>
      </w:r>
      <w:r>
        <w:instrText xml:space="preserve"> PAGEREF _Toc29599 \h </w:instrText>
      </w:r>
      <w:r>
        <w:fldChar w:fldCharType="separate"/>
      </w:r>
      <w:r>
        <w:t>- 4 -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_Toc1639 </w:instrText>
      </w:r>
      <w:r>
        <w:rPr>
          <w:rFonts w:hint="eastAsia" w:ascii="宋体" w:hAnsi="宋体"/>
          <w:szCs w:val="21"/>
        </w:rPr>
        <w:fldChar w:fldCharType="separate"/>
      </w:r>
      <w:r>
        <w:rPr>
          <w:rFonts w:hint="eastAsia" w:ascii="宋体" w:hAnsi="宋体" w:eastAsia="宋体"/>
        </w:rPr>
        <w:t>第二篇 项目具体要求</w:t>
      </w:r>
      <w:r>
        <w:tab/>
      </w:r>
      <w:r>
        <w:fldChar w:fldCharType="begin"/>
      </w:r>
      <w:r>
        <w:instrText xml:space="preserve"> PAGEREF _Toc1639 \h </w:instrText>
      </w:r>
      <w:r>
        <w:fldChar w:fldCharType="separate"/>
      </w:r>
      <w:r>
        <w:t>- 5 -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_Toc20600 </w:instrText>
      </w:r>
      <w:r>
        <w:rPr>
          <w:rFonts w:hint="eastAsia" w:ascii="宋体" w:hAnsi="宋体"/>
          <w:szCs w:val="21"/>
        </w:rPr>
        <w:fldChar w:fldCharType="separate"/>
      </w:r>
      <w:r>
        <w:rPr>
          <w:rFonts w:hint="eastAsia"/>
          <w:szCs w:val="22"/>
        </w:rPr>
        <w:t>第一部分 技术要求</w:t>
      </w:r>
      <w:r>
        <w:tab/>
      </w:r>
      <w:r>
        <w:fldChar w:fldCharType="begin"/>
      </w:r>
      <w:r>
        <w:instrText xml:space="preserve"> PAGEREF _Toc20600 \h </w:instrText>
      </w:r>
      <w:r>
        <w:fldChar w:fldCharType="separate"/>
      </w:r>
      <w:r>
        <w:t>- 5 -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_Toc29566 </w:instrText>
      </w:r>
      <w:r>
        <w:rPr>
          <w:rFonts w:hint="eastAsia" w:ascii="宋体" w:hAnsi="宋体"/>
          <w:szCs w:val="21"/>
        </w:rPr>
        <w:fldChar w:fldCharType="separate"/>
      </w:r>
      <w:r>
        <w:rPr>
          <w:rFonts w:hint="eastAsia"/>
          <w:szCs w:val="22"/>
        </w:rPr>
        <w:t>第二部分 商务要求</w:t>
      </w:r>
      <w:r>
        <w:tab/>
      </w:r>
      <w:r>
        <w:fldChar w:fldCharType="begin"/>
      </w:r>
      <w:r>
        <w:instrText xml:space="preserve"> PAGEREF _Toc29566 \h </w:instrText>
      </w:r>
      <w:r>
        <w:fldChar w:fldCharType="separate"/>
      </w:r>
      <w:r>
        <w:t>- 7 -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_Toc11630 </w:instrText>
      </w:r>
      <w:r>
        <w:rPr>
          <w:rFonts w:hint="eastAsia" w:ascii="宋体" w:hAnsi="宋体"/>
          <w:szCs w:val="21"/>
        </w:rPr>
        <w:fldChar w:fldCharType="separate"/>
      </w:r>
      <w:r>
        <w:rPr>
          <w:rFonts w:hint="eastAsia" w:ascii="宋体" w:hAnsi="宋体" w:eastAsia="宋体"/>
        </w:rPr>
        <w:t>第三篇  评审程序、评审方法和评审标准</w:t>
      </w:r>
      <w:r>
        <w:tab/>
      </w:r>
      <w:r>
        <w:fldChar w:fldCharType="begin"/>
      </w:r>
      <w:r>
        <w:instrText xml:space="preserve"> PAGEREF _Toc11630 \h </w:instrText>
      </w:r>
      <w:r>
        <w:fldChar w:fldCharType="separate"/>
      </w:r>
      <w:r>
        <w:t>- 9 -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_Toc25223 </w:instrText>
      </w:r>
      <w:r>
        <w:rPr>
          <w:rFonts w:hint="eastAsia" w:ascii="宋体" w:hAnsi="宋体"/>
          <w:szCs w:val="21"/>
        </w:rPr>
        <w:fldChar w:fldCharType="separate"/>
      </w:r>
      <w:r>
        <w:rPr>
          <w:rFonts w:hint="eastAsia"/>
          <w:szCs w:val="24"/>
        </w:rPr>
        <w:t>一、评审程序</w:t>
      </w:r>
      <w:r>
        <w:tab/>
      </w:r>
      <w:r>
        <w:fldChar w:fldCharType="begin"/>
      </w:r>
      <w:r>
        <w:instrText xml:space="preserve"> PAGEREF _Toc25223 \h </w:instrText>
      </w:r>
      <w:r>
        <w:fldChar w:fldCharType="separate"/>
      </w:r>
      <w:r>
        <w:t>- 9 -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_Toc30385 </w:instrText>
      </w:r>
      <w:r>
        <w:rPr>
          <w:rFonts w:hint="eastAsia" w:ascii="宋体" w:hAnsi="宋体"/>
          <w:szCs w:val="21"/>
        </w:rPr>
        <w:fldChar w:fldCharType="separate"/>
      </w:r>
      <w:r>
        <w:rPr>
          <w:rFonts w:hint="eastAsia"/>
          <w:szCs w:val="24"/>
        </w:rPr>
        <w:t>二、评审方法</w:t>
      </w:r>
      <w:r>
        <w:tab/>
      </w:r>
      <w:r>
        <w:fldChar w:fldCharType="begin"/>
      </w:r>
      <w:r>
        <w:instrText xml:space="preserve"> PAGEREF _Toc30385 \h </w:instrText>
      </w:r>
      <w:r>
        <w:fldChar w:fldCharType="separate"/>
      </w:r>
      <w:r>
        <w:t>- 10 -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_Toc19270 </w:instrText>
      </w:r>
      <w:r>
        <w:rPr>
          <w:rFonts w:hint="eastAsia" w:ascii="宋体" w:hAnsi="宋体"/>
          <w:szCs w:val="21"/>
        </w:rPr>
        <w:fldChar w:fldCharType="separate"/>
      </w:r>
      <w:r>
        <w:rPr>
          <w:rFonts w:hint="eastAsia" w:ascii="宋体" w:hAnsi="宋体" w:eastAsia="宋体"/>
        </w:rPr>
        <w:t>第四篇  供应商须知</w:t>
      </w:r>
      <w:r>
        <w:tab/>
      </w:r>
      <w:r>
        <w:fldChar w:fldCharType="begin"/>
      </w:r>
      <w:r>
        <w:instrText xml:space="preserve"> PAGEREF _Toc19270 \h </w:instrText>
      </w:r>
      <w:r>
        <w:fldChar w:fldCharType="separate"/>
      </w:r>
      <w:r>
        <w:t>- 15 -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_Toc22522 </w:instrText>
      </w:r>
      <w:r>
        <w:rPr>
          <w:rFonts w:hint="eastAsia" w:ascii="宋体" w:hAnsi="宋体"/>
          <w:szCs w:val="21"/>
        </w:rPr>
        <w:fldChar w:fldCharType="separate"/>
      </w:r>
      <w:r>
        <w:rPr>
          <w:rFonts w:hint="eastAsia"/>
        </w:rPr>
        <w:t>一、供应商</w:t>
      </w:r>
      <w:r>
        <w:tab/>
      </w:r>
      <w:r>
        <w:fldChar w:fldCharType="begin"/>
      </w:r>
      <w:r>
        <w:instrText xml:space="preserve"> PAGEREF _Toc22522 \h </w:instrText>
      </w:r>
      <w:r>
        <w:fldChar w:fldCharType="separate"/>
      </w:r>
      <w:r>
        <w:t>- 15 -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_Toc6512 </w:instrText>
      </w:r>
      <w:r>
        <w:rPr>
          <w:rFonts w:hint="eastAsia" w:ascii="宋体" w:hAnsi="宋体"/>
          <w:szCs w:val="21"/>
        </w:rPr>
        <w:fldChar w:fldCharType="separate"/>
      </w:r>
      <w:r>
        <w:rPr>
          <w:rFonts w:hint="eastAsia"/>
        </w:rPr>
        <w:t>二、磋商文件</w:t>
      </w:r>
      <w:r>
        <w:tab/>
      </w:r>
      <w:r>
        <w:fldChar w:fldCharType="begin"/>
      </w:r>
      <w:r>
        <w:instrText xml:space="preserve"> PAGEREF _Toc6512 \h </w:instrText>
      </w:r>
      <w:r>
        <w:fldChar w:fldCharType="separate"/>
      </w:r>
      <w:r>
        <w:t>- 15 -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_Toc18827 </w:instrText>
      </w:r>
      <w:r>
        <w:rPr>
          <w:rFonts w:hint="eastAsia" w:ascii="宋体" w:hAnsi="宋体"/>
          <w:szCs w:val="21"/>
        </w:rPr>
        <w:fldChar w:fldCharType="separate"/>
      </w:r>
      <w:r>
        <w:rPr>
          <w:rFonts w:hint="eastAsia"/>
        </w:rPr>
        <w:t>三、响应文件</w:t>
      </w:r>
      <w:r>
        <w:tab/>
      </w:r>
      <w:r>
        <w:fldChar w:fldCharType="begin"/>
      </w:r>
      <w:r>
        <w:instrText xml:space="preserve"> PAGEREF _Toc18827 \h </w:instrText>
      </w:r>
      <w:r>
        <w:fldChar w:fldCharType="separate"/>
      </w:r>
      <w:r>
        <w:t>- 15 -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_Toc6707 </w:instrText>
      </w:r>
      <w:r>
        <w:rPr>
          <w:rFonts w:hint="eastAsia" w:ascii="宋体" w:hAnsi="宋体"/>
          <w:szCs w:val="21"/>
        </w:rPr>
        <w:fldChar w:fldCharType="separate"/>
      </w:r>
      <w:r>
        <w:rPr>
          <w:rFonts w:hint="eastAsia"/>
        </w:rPr>
        <w:t>四、竞争性磋商程序</w:t>
      </w:r>
      <w:r>
        <w:tab/>
      </w:r>
      <w:r>
        <w:fldChar w:fldCharType="begin"/>
      </w:r>
      <w:r>
        <w:instrText xml:space="preserve"> PAGEREF _Toc6707 \h </w:instrText>
      </w:r>
      <w:r>
        <w:fldChar w:fldCharType="separate"/>
      </w:r>
      <w:r>
        <w:t>- 17 -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_Toc2559 </w:instrText>
      </w:r>
      <w:r>
        <w:rPr>
          <w:rFonts w:hint="eastAsia" w:ascii="宋体" w:hAnsi="宋体"/>
          <w:szCs w:val="21"/>
        </w:rPr>
        <w:fldChar w:fldCharType="separate"/>
      </w:r>
      <w:r>
        <w:rPr>
          <w:rFonts w:hint="eastAsia"/>
        </w:rPr>
        <w:t>五、确定成交供应商</w:t>
      </w:r>
      <w:r>
        <w:tab/>
      </w:r>
      <w:r>
        <w:fldChar w:fldCharType="begin"/>
      </w:r>
      <w:r>
        <w:instrText xml:space="preserve"> PAGEREF _Toc2559 \h </w:instrText>
      </w:r>
      <w:r>
        <w:fldChar w:fldCharType="separate"/>
      </w:r>
      <w:r>
        <w:t>- 18 -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_Toc18239 </w:instrText>
      </w:r>
      <w:r>
        <w:rPr>
          <w:rFonts w:hint="eastAsia" w:ascii="宋体" w:hAnsi="宋体"/>
          <w:szCs w:val="21"/>
        </w:rPr>
        <w:fldChar w:fldCharType="separate"/>
      </w:r>
      <w:r>
        <w:rPr>
          <w:rFonts w:hint="eastAsia"/>
        </w:rPr>
        <w:t>六、成交通知书</w:t>
      </w:r>
      <w:r>
        <w:tab/>
      </w:r>
      <w:r>
        <w:fldChar w:fldCharType="begin"/>
      </w:r>
      <w:r>
        <w:instrText xml:space="preserve"> PAGEREF _Toc18239 \h </w:instrText>
      </w:r>
      <w:r>
        <w:fldChar w:fldCharType="separate"/>
      </w:r>
      <w:r>
        <w:t>- 18 -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_Toc5058 </w:instrText>
      </w:r>
      <w:r>
        <w:rPr>
          <w:rFonts w:hint="eastAsia" w:ascii="宋体" w:hAnsi="宋体"/>
          <w:szCs w:val="21"/>
        </w:rPr>
        <w:fldChar w:fldCharType="separate"/>
      </w:r>
      <w:r>
        <w:rPr>
          <w:rFonts w:hint="eastAsia"/>
        </w:rPr>
        <w:t>七、关于质疑和投诉</w:t>
      </w:r>
      <w:r>
        <w:tab/>
      </w:r>
      <w:r>
        <w:fldChar w:fldCharType="begin"/>
      </w:r>
      <w:r>
        <w:instrText xml:space="preserve"> PAGEREF _Toc5058 \h </w:instrText>
      </w:r>
      <w:r>
        <w:fldChar w:fldCharType="separate"/>
      </w:r>
      <w:r>
        <w:t>- 18 -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_Toc25316 </w:instrText>
      </w:r>
      <w:r>
        <w:rPr>
          <w:rFonts w:hint="eastAsia" w:ascii="宋体" w:hAnsi="宋体"/>
          <w:szCs w:val="21"/>
        </w:rPr>
        <w:fldChar w:fldCharType="separate"/>
      </w:r>
      <w:r>
        <w:rPr>
          <w:rFonts w:hint="eastAsia"/>
        </w:rPr>
        <w:t>八、签订合同</w:t>
      </w:r>
      <w:r>
        <w:tab/>
      </w:r>
      <w:r>
        <w:fldChar w:fldCharType="begin"/>
      </w:r>
      <w:r>
        <w:instrText xml:space="preserve"> PAGEREF _Toc25316 \h </w:instrText>
      </w:r>
      <w:r>
        <w:fldChar w:fldCharType="separate"/>
      </w:r>
      <w:r>
        <w:t>- 19 -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_Toc21292 </w:instrText>
      </w:r>
      <w:r>
        <w:rPr>
          <w:rFonts w:hint="eastAsia" w:ascii="宋体" w:hAnsi="宋体"/>
          <w:szCs w:val="21"/>
        </w:rPr>
        <w:fldChar w:fldCharType="separate"/>
      </w:r>
      <w:r>
        <w:rPr>
          <w:rFonts w:hint="eastAsia" w:ascii="宋体" w:hAnsi="宋体" w:eastAsia="宋体"/>
        </w:rPr>
        <w:t>第五篇  合同</w:t>
      </w:r>
      <w:r>
        <w:tab/>
      </w:r>
      <w:r>
        <w:fldChar w:fldCharType="begin"/>
      </w:r>
      <w:r>
        <w:instrText xml:space="preserve"> PAGEREF _Toc21292 \h </w:instrText>
      </w:r>
      <w:r>
        <w:fldChar w:fldCharType="separate"/>
      </w:r>
      <w:r>
        <w:t>- 21 -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_Toc13881 </w:instrText>
      </w:r>
      <w:r>
        <w:rPr>
          <w:rFonts w:hint="eastAsia" w:ascii="宋体" w:hAnsi="宋体"/>
          <w:szCs w:val="21"/>
        </w:rPr>
        <w:fldChar w:fldCharType="separate"/>
      </w:r>
      <w:r>
        <w:rPr>
          <w:rFonts w:hint="eastAsia" w:ascii="宋体" w:hAnsi="宋体" w:eastAsia="宋体"/>
        </w:rPr>
        <w:t>第六篇  响应文件格式</w:t>
      </w:r>
      <w:r>
        <w:tab/>
      </w:r>
      <w:r>
        <w:fldChar w:fldCharType="begin"/>
      </w:r>
      <w:r>
        <w:instrText xml:space="preserve"> PAGEREF _Toc13881 \h </w:instrText>
      </w:r>
      <w:r>
        <w:fldChar w:fldCharType="separate"/>
      </w:r>
      <w:r>
        <w:t>- 23 -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_Toc19092 </w:instrText>
      </w:r>
      <w:r>
        <w:rPr>
          <w:rFonts w:hint="eastAsia" w:ascii="宋体" w:hAnsi="宋体"/>
          <w:szCs w:val="21"/>
        </w:rPr>
        <w:fldChar w:fldCharType="separate"/>
      </w:r>
      <w:r>
        <w:rPr>
          <w:rFonts w:hint="eastAsia"/>
          <w:szCs w:val="28"/>
        </w:rPr>
        <w:t>一、经济文件</w:t>
      </w:r>
      <w:r>
        <w:tab/>
      </w:r>
      <w:r>
        <w:fldChar w:fldCharType="begin"/>
      </w:r>
      <w:r>
        <w:instrText xml:space="preserve"> PAGEREF _Toc19092 \h </w:instrText>
      </w:r>
      <w:r>
        <w:fldChar w:fldCharType="separate"/>
      </w:r>
      <w:r>
        <w:t>- 25 -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_Toc2414 </w:instrText>
      </w:r>
      <w:r>
        <w:rPr>
          <w:rFonts w:hint="eastAsia" w:ascii="宋体" w:hAnsi="宋体"/>
          <w:szCs w:val="21"/>
        </w:rPr>
        <w:fldChar w:fldCharType="separate"/>
      </w:r>
      <w:r>
        <w:rPr>
          <w:rFonts w:hint="eastAsia"/>
          <w:szCs w:val="28"/>
        </w:rPr>
        <w:t>二、资格文件</w:t>
      </w:r>
      <w:r>
        <w:tab/>
      </w:r>
      <w:r>
        <w:fldChar w:fldCharType="begin"/>
      </w:r>
      <w:r>
        <w:instrText xml:space="preserve"> PAGEREF _Toc2414 \h </w:instrText>
      </w:r>
      <w:r>
        <w:fldChar w:fldCharType="separate"/>
      </w:r>
      <w:r>
        <w:t>- 27 -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_Toc31700 </w:instrText>
      </w:r>
      <w:r>
        <w:rPr>
          <w:rFonts w:hint="eastAsia" w:ascii="宋体" w:hAnsi="宋体"/>
          <w:szCs w:val="21"/>
        </w:rPr>
        <w:fldChar w:fldCharType="separate"/>
      </w:r>
      <w:r>
        <w:rPr>
          <w:rFonts w:hint="eastAsia"/>
          <w:szCs w:val="28"/>
        </w:rPr>
        <w:t>三、服务响应文件</w:t>
      </w:r>
      <w:r>
        <w:tab/>
      </w:r>
      <w:r>
        <w:fldChar w:fldCharType="begin"/>
      </w:r>
      <w:r>
        <w:instrText xml:space="preserve"> PAGEREF _Toc31700 \h </w:instrText>
      </w:r>
      <w:r>
        <w:fldChar w:fldCharType="separate"/>
      </w:r>
      <w:r>
        <w:t>- 32 -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_Toc28594 </w:instrText>
      </w:r>
      <w:r>
        <w:rPr>
          <w:rFonts w:hint="eastAsia" w:ascii="宋体" w:hAnsi="宋体"/>
          <w:szCs w:val="21"/>
        </w:rPr>
        <w:fldChar w:fldCharType="separate"/>
      </w:r>
      <w:r>
        <w:rPr>
          <w:rFonts w:hint="eastAsia"/>
          <w:szCs w:val="28"/>
        </w:rPr>
        <w:t>四、其他</w:t>
      </w:r>
      <w:r>
        <w:tab/>
      </w:r>
      <w:r>
        <w:fldChar w:fldCharType="begin"/>
      </w:r>
      <w:r>
        <w:instrText xml:space="preserve"> PAGEREF _Toc28594 \h </w:instrText>
      </w:r>
      <w:r>
        <w:fldChar w:fldCharType="separate"/>
      </w:r>
      <w:r>
        <w:t>- 35 -</w:t>
      </w:r>
      <w:r>
        <w:fldChar w:fldCharType="end"/>
      </w:r>
      <w:r>
        <w:rPr>
          <w:rFonts w:hint="eastAsia" w:ascii="宋体" w:hAnsi="宋体"/>
          <w:szCs w:val="21"/>
        </w:rPr>
        <w:fldChar w:fldCharType="end"/>
      </w:r>
    </w:p>
    <w:p>
      <w:pPr>
        <w:pStyle w:val="38"/>
        <w:spacing w:line="360" w:lineRule="auto"/>
        <w:ind w:firstLine="0" w:firstLineChars="0"/>
        <w:rPr>
          <w:rFonts w:ascii="宋体" w:hAnsi="宋体"/>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szCs w:val="21"/>
        </w:rPr>
        <w:fldChar w:fldCharType="end"/>
      </w:r>
    </w:p>
    <w:p>
      <w:pPr>
        <w:pStyle w:val="2"/>
        <w:numPr>
          <w:ilvl w:val="0"/>
          <w:numId w:val="16"/>
        </w:numPr>
        <w:spacing w:before="0" w:beforeLines="0" w:after="0" w:afterLines="0" w:line="360" w:lineRule="auto"/>
        <w:ind w:left="1531" w:hanging="1531"/>
        <w:rPr>
          <w:rFonts w:ascii="宋体" w:hAnsi="宋体" w:eastAsia="宋体"/>
        </w:rPr>
      </w:pPr>
      <w:bookmarkStart w:id="0" w:name="_Toc441065652"/>
      <w:bookmarkStart w:id="1" w:name="_Toc3981"/>
      <w:r>
        <w:rPr>
          <w:rFonts w:hint="eastAsia" w:ascii="宋体" w:hAnsi="宋体" w:eastAsia="宋体"/>
        </w:rPr>
        <w:t>竞争性磋商邀请书</w:t>
      </w:r>
      <w:bookmarkEnd w:id="0"/>
      <w:bookmarkEnd w:id="1"/>
    </w:p>
    <w:p>
      <w:pPr>
        <w:snapToGrid w:val="0"/>
        <w:spacing w:line="360" w:lineRule="auto"/>
        <w:ind w:firstLine="480" w:firstLineChars="200"/>
        <w:rPr>
          <w:rFonts w:ascii="宋体" w:hAnsi="宋体"/>
          <w:sz w:val="24"/>
          <w:szCs w:val="24"/>
        </w:rPr>
      </w:pPr>
      <w:r>
        <w:rPr>
          <w:rFonts w:hint="eastAsia" w:ascii="宋体" w:hAnsi="宋体"/>
          <w:sz w:val="24"/>
          <w:szCs w:val="24"/>
        </w:rPr>
        <w:t>采购人将对以下项目进行竞争性磋商，欢迎有资格的供应商参与磋商。</w:t>
      </w:r>
    </w:p>
    <w:p>
      <w:pPr>
        <w:pStyle w:val="3"/>
        <w:spacing w:before="120" w:beforeLines="50"/>
        <w:ind w:firstLine="482" w:firstLineChars="200"/>
        <w:rPr>
          <w:b/>
          <w:sz w:val="24"/>
        </w:rPr>
      </w:pPr>
      <w:bookmarkStart w:id="2" w:name="_Toc441065653"/>
      <w:bookmarkStart w:id="3" w:name="_Toc16966"/>
      <w:r>
        <w:rPr>
          <w:rFonts w:hint="eastAsia"/>
          <w:b/>
          <w:sz w:val="24"/>
        </w:rPr>
        <w:t>一、项目内容</w:t>
      </w:r>
      <w:bookmarkEnd w:id="2"/>
      <w:bookmarkEnd w:id="3"/>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22"/>
        <w:gridCol w:w="1968"/>
        <w:gridCol w:w="2359"/>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62" w:type="dxa"/>
            <w:vAlign w:val="center"/>
          </w:tcPr>
          <w:p>
            <w:pPr>
              <w:pStyle w:val="23"/>
              <w:spacing w:line="360" w:lineRule="auto"/>
              <w:ind w:left="0"/>
              <w:jc w:val="center"/>
              <w:outlineLvl w:val="0"/>
              <w:rPr>
                <w:rFonts w:ascii="宋体" w:hAnsi="宋体"/>
                <w:sz w:val="24"/>
                <w:szCs w:val="24"/>
              </w:rPr>
            </w:pPr>
            <w:r>
              <w:rPr>
                <w:rFonts w:hint="eastAsia" w:ascii="宋体" w:hAnsi="宋体"/>
                <w:sz w:val="24"/>
                <w:szCs w:val="24"/>
              </w:rPr>
              <w:t>序号</w:t>
            </w:r>
          </w:p>
        </w:tc>
        <w:tc>
          <w:tcPr>
            <w:tcW w:w="1722" w:type="dxa"/>
            <w:vAlign w:val="center"/>
          </w:tcPr>
          <w:p>
            <w:pPr>
              <w:pStyle w:val="23"/>
              <w:spacing w:line="360" w:lineRule="auto"/>
              <w:ind w:left="0"/>
              <w:jc w:val="center"/>
              <w:outlineLvl w:val="0"/>
              <w:rPr>
                <w:rFonts w:ascii="宋体" w:hAnsi="宋体"/>
                <w:sz w:val="24"/>
                <w:szCs w:val="24"/>
              </w:rPr>
            </w:pPr>
            <w:r>
              <w:rPr>
                <w:rFonts w:hint="eastAsia" w:ascii="宋体" w:hAnsi="宋体"/>
                <w:sz w:val="24"/>
                <w:szCs w:val="24"/>
              </w:rPr>
              <w:t>项目名称</w:t>
            </w:r>
          </w:p>
        </w:tc>
        <w:tc>
          <w:tcPr>
            <w:tcW w:w="1968" w:type="dxa"/>
            <w:vAlign w:val="center"/>
          </w:tcPr>
          <w:p>
            <w:pPr>
              <w:pStyle w:val="23"/>
              <w:spacing w:line="360" w:lineRule="auto"/>
              <w:ind w:left="0"/>
              <w:jc w:val="center"/>
              <w:outlineLvl w:val="0"/>
              <w:rPr>
                <w:rFonts w:ascii="宋体" w:hAnsi="宋体"/>
                <w:sz w:val="24"/>
                <w:szCs w:val="24"/>
              </w:rPr>
            </w:pPr>
            <w:r>
              <w:rPr>
                <w:rFonts w:hint="eastAsia" w:ascii="宋体" w:hAnsi="宋体"/>
                <w:sz w:val="24"/>
                <w:szCs w:val="24"/>
              </w:rPr>
              <w:t>最高限价（万元）</w:t>
            </w:r>
          </w:p>
        </w:tc>
        <w:tc>
          <w:tcPr>
            <w:tcW w:w="2359" w:type="dxa"/>
            <w:vAlign w:val="center"/>
          </w:tcPr>
          <w:p>
            <w:pPr>
              <w:pStyle w:val="23"/>
              <w:spacing w:line="360" w:lineRule="auto"/>
              <w:ind w:left="0"/>
              <w:jc w:val="center"/>
              <w:outlineLvl w:val="0"/>
              <w:rPr>
                <w:rFonts w:ascii="宋体" w:hAnsi="宋体"/>
                <w:sz w:val="24"/>
                <w:szCs w:val="24"/>
              </w:rPr>
            </w:pPr>
            <w:r>
              <w:rPr>
                <w:rFonts w:hint="eastAsia" w:ascii="宋体" w:hAnsi="宋体"/>
                <w:sz w:val="24"/>
                <w:szCs w:val="24"/>
              </w:rPr>
              <w:t>磋商保证金（万元）</w:t>
            </w:r>
          </w:p>
        </w:tc>
        <w:tc>
          <w:tcPr>
            <w:tcW w:w="927" w:type="dxa"/>
            <w:vAlign w:val="center"/>
          </w:tcPr>
          <w:p>
            <w:pPr>
              <w:pStyle w:val="23"/>
              <w:spacing w:line="360" w:lineRule="auto"/>
              <w:ind w:left="0"/>
              <w:jc w:val="center"/>
              <w:outlineLvl w:val="0"/>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62" w:type="dxa"/>
            <w:vAlign w:val="center"/>
          </w:tcPr>
          <w:p>
            <w:pPr>
              <w:pStyle w:val="15"/>
              <w:ind w:firstLine="0"/>
              <w:jc w:val="center"/>
              <w:outlineLvl w:val="0"/>
              <w:rPr>
                <w:rFonts w:ascii="宋体" w:hAnsi="宋体"/>
                <w:szCs w:val="24"/>
              </w:rPr>
            </w:pPr>
            <w:r>
              <w:rPr>
                <w:rFonts w:hint="eastAsia" w:ascii="宋体" w:hAnsi="宋体"/>
                <w:szCs w:val="24"/>
              </w:rPr>
              <w:t>1</w:t>
            </w:r>
          </w:p>
        </w:tc>
        <w:tc>
          <w:tcPr>
            <w:tcW w:w="1722" w:type="dxa"/>
            <w:vAlign w:val="center"/>
          </w:tcPr>
          <w:p>
            <w:pPr>
              <w:widowControl/>
              <w:spacing w:line="360" w:lineRule="auto"/>
              <w:jc w:val="left"/>
              <w:rPr>
                <w:rFonts w:ascii="宋体" w:hAnsi="宋体"/>
                <w:sz w:val="24"/>
                <w:szCs w:val="24"/>
              </w:rPr>
            </w:pPr>
            <w:r>
              <w:rPr>
                <w:rFonts w:hint="eastAsia" w:ascii="黑体" w:hAnsi="宋体" w:eastAsia="黑体" w:cs="黑体"/>
                <w:kern w:val="0"/>
                <w:sz w:val="24"/>
                <w:szCs w:val="24"/>
                <w:lang w:bidi="ar"/>
              </w:rPr>
              <w:t>单病种系统</w:t>
            </w:r>
          </w:p>
        </w:tc>
        <w:tc>
          <w:tcPr>
            <w:tcW w:w="1968" w:type="dxa"/>
            <w:vAlign w:val="center"/>
          </w:tcPr>
          <w:p>
            <w:pPr>
              <w:pStyle w:val="23"/>
              <w:spacing w:line="360" w:lineRule="auto"/>
              <w:ind w:left="0"/>
              <w:jc w:val="center"/>
              <w:outlineLvl w:val="0"/>
              <w:rPr>
                <w:rFonts w:ascii="宋体" w:hAnsi="宋体"/>
                <w:sz w:val="24"/>
                <w:szCs w:val="24"/>
              </w:rPr>
            </w:pPr>
            <w:r>
              <w:rPr>
                <w:rFonts w:hint="eastAsia" w:ascii="宋体" w:hAnsi="宋体"/>
                <w:sz w:val="24"/>
                <w:szCs w:val="24"/>
              </w:rPr>
              <w:t>20</w:t>
            </w:r>
          </w:p>
        </w:tc>
        <w:tc>
          <w:tcPr>
            <w:tcW w:w="2359" w:type="dxa"/>
            <w:vAlign w:val="center"/>
          </w:tcPr>
          <w:p>
            <w:pPr>
              <w:pStyle w:val="23"/>
              <w:spacing w:line="360" w:lineRule="auto"/>
              <w:ind w:left="0"/>
              <w:jc w:val="center"/>
              <w:outlineLvl w:val="0"/>
              <w:rPr>
                <w:rFonts w:ascii="宋体" w:hAnsi="宋体"/>
                <w:sz w:val="24"/>
                <w:szCs w:val="24"/>
              </w:rPr>
            </w:pPr>
            <w:r>
              <w:rPr>
                <w:rFonts w:hint="eastAsia" w:ascii="宋体" w:hAnsi="宋体"/>
                <w:sz w:val="24"/>
                <w:szCs w:val="24"/>
              </w:rPr>
              <w:t>0</w:t>
            </w:r>
          </w:p>
        </w:tc>
        <w:tc>
          <w:tcPr>
            <w:tcW w:w="927" w:type="dxa"/>
          </w:tcPr>
          <w:p>
            <w:pPr>
              <w:pStyle w:val="15"/>
              <w:ind w:firstLine="0"/>
              <w:outlineLvl w:val="0"/>
              <w:rPr>
                <w:rFonts w:ascii="宋体" w:hAnsi="宋体"/>
                <w:szCs w:val="24"/>
              </w:rPr>
            </w:pPr>
          </w:p>
        </w:tc>
      </w:tr>
    </w:tbl>
    <w:p>
      <w:pPr>
        <w:pStyle w:val="3"/>
        <w:spacing w:before="120" w:beforeLines="50"/>
        <w:ind w:firstLine="482" w:firstLineChars="200"/>
        <w:rPr>
          <w:b/>
          <w:sz w:val="24"/>
        </w:rPr>
      </w:pPr>
      <w:bookmarkStart w:id="4" w:name="_Toc441065655"/>
      <w:bookmarkStart w:id="5" w:name="_Toc2911"/>
      <w:r>
        <w:rPr>
          <w:rFonts w:hint="eastAsia"/>
          <w:b/>
          <w:sz w:val="24"/>
        </w:rPr>
        <w:t>二、供应商资格要求</w:t>
      </w:r>
      <w:bookmarkEnd w:id="4"/>
      <w:bookmarkEnd w:id="5"/>
    </w:p>
    <w:p>
      <w:pPr>
        <w:snapToGrid w:val="0"/>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合格供应商应首先符合政府采购法第二十二条规定的基本条件，同时符合根据该项目特点设置的特定资格条件。</w:t>
      </w:r>
    </w:p>
    <w:p>
      <w:pPr>
        <w:snapToGrid w:val="0"/>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（一）基本资格条件</w:t>
      </w:r>
    </w:p>
    <w:p>
      <w:pPr>
        <w:snapToGrid w:val="0"/>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1、具有独立承担民事责任的能力；</w:t>
      </w:r>
    </w:p>
    <w:p>
      <w:pPr>
        <w:snapToGrid w:val="0"/>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2、具有良好的商业信誉和健全的财务会计制度；</w:t>
      </w:r>
    </w:p>
    <w:p>
      <w:pPr>
        <w:snapToGrid w:val="0"/>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3、具有履行合同所必需的设备和专业技术能力；</w:t>
      </w:r>
    </w:p>
    <w:p>
      <w:pPr>
        <w:snapToGrid w:val="0"/>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4、有依法缴纳税收和社会保障资金的良好记录；</w:t>
      </w:r>
    </w:p>
    <w:p>
      <w:pPr>
        <w:snapToGrid w:val="0"/>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5、参加政府采购活动前三年内，在经营活动中没有重大违法记录;</w:t>
      </w:r>
    </w:p>
    <w:p>
      <w:pPr>
        <w:snapToGrid w:val="0"/>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6、法律、行政法规规定的其他条件。</w:t>
      </w:r>
    </w:p>
    <w:p>
      <w:pPr>
        <w:pStyle w:val="216"/>
        <w:numPr>
          <w:ilvl w:val="0"/>
          <w:numId w:val="0"/>
        </w:numPr>
        <w:ind w:leftChars="0"/>
        <w:rPr>
          <w:rFonts w:hint="eastAsia" w:ascii="宋体" w:hAnsi="宋体" w:eastAsia="宋体"/>
          <w:color w:val="auto"/>
          <w:sz w:val="24"/>
          <w:szCs w:val="24"/>
          <w:lang w:val="en-US" w:eastAsia="zh-CN"/>
        </w:rPr>
      </w:pPr>
      <w:bookmarkStart w:id="6" w:name="_Toc441065657"/>
      <w:r>
        <w:rPr>
          <w:rFonts w:hint="eastAsia" w:ascii="宋体" w:hAnsi="宋体"/>
          <w:color w:val="auto"/>
          <w:sz w:val="24"/>
          <w:szCs w:val="24"/>
        </w:rPr>
        <w:t>（二）特定资格条件：</w:t>
      </w:r>
      <w:r>
        <w:rPr>
          <w:rFonts w:hint="eastAsia" w:ascii="宋体" w:hAnsi="宋体"/>
          <w:color w:val="auto"/>
          <w:sz w:val="24"/>
          <w:szCs w:val="24"/>
          <w:lang w:eastAsia="zh-CN"/>
        </w:rPr>
        <w:t>无</w:t>
      </w:r>
    </w:p>
    <w:p>
      <w:pPr>
        <w:spacing w:line="276" w:lineRule="auto"/>
        <w:ind w:firstLine="482" w:firstLineChars="200"/>
        <w:rPr>
          <w:rFonts w:hint="eastAsia" w:ascii="宋体" w:hAnsi="宋体"/>
          <w:b/>
          <w:color w:val="auto"/>
          <w:sz w:val="24"/>
          <w:szCs w:val="24"/>
        </w:rPr>
      </w:pPr>
      <w:r>
        <w:rPr>
          <w:rFonts w:hint="eastAsia" w:ascii="宋体" w:hAnsi="宋体"/>
          <w:b/>
          <w:color w:val="auto"/>
          <w:sz w:val="24"/>
          <w:szCs w:val="24"/>
        </w:rPr>
        <w:t>特别说明：本项目不接受联合体参与磋商</w:t>
      </w:r>
    </w:p>
    <w:p>
      <w:pPr>
        <w:pStyle w:val="3"/>
        <w:spacing w:before="120" w:beforeLines="50" w:line="276" w:lineRule="auto"/>
        <w:rPr>
          <w:rFonts w:hint="eastAsia"/>
          <w:b/>
          <w:color w:val="auto"/>
          <w:sz w:val="24"/>
        </w:rPr>
      </w:pPr>
      <w:bookmarkStart w:id="7" w:name="_Toc441065656"/>
      <w:bookmarkStart w:id="8" w:name="_Toc9573"/>
      <w:bookmarkStart w:id="9" w:name="_Toc7870"/>
      <w:bookmarkStart w:id="10" w:name="_Toc532"/>
      <w:bookmarkStart w:id="11" w:name="_Toc20131"/>
      <w:bookmarkStart w:id="12" w:name="_Toc10309"/>
      <w:bookmarkStart w:id="13" w:name="_Toc1714"/>
      <w:bookmarkStart w:id="14" w:name="_Toc17937"/>
      <w:bookmarkStart w:id="15" w:name="_Toc5940"/>
      <w:bookmarkStart w:id="16" w:name="_Toc1937"/>
      <w:bookmarkStart w:id="17" w:name="_Toc4185"/>
      <w:bookmarkStart w:id="18" w:name="_Toc30947"/>
      <w:bookmarkStart w:id="19" w:name="_Toc69482339"/>
      <w:r>
        <w:rPr>
          <w:rFonts w:hint="eastAsia"/>
          <w:b/>
          <w:color w:val="auto"/>
          <w:sz w:val="24"/>
          <w:lang w:eastAsia="zh-CN"/>
        </w:rPr>
        <w:t>三</w:t>
      </w:r>
      <w:r>
        <w:rPr>
          <w:rFonts w:hint="eastAsia"/>
          <w:b/>
          <w:color w:val="auto"/>
          <w:sz w:val="24"/>
        </w:rPr>
        <w:t>、磋商</w:t>
      </w:r>
      <w:bookmarkEnd w:id="7"/>
      <w:r>
        <w:rPr>
          <w:rFonts w:hint="eastAsia"/>
          <w:b/>
          <w:color w:val="auto"/>
          <w:sz w:val="24"/>
        </w:rPr>
        <w:t>报名</w:t>
      </w:r>
      <w:bookmarkEnd w:id="8"/>
      <w:bookmarkEnd w:id="9"/>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凡有意参加磋商的供应商，自行下载</w:t>
      </w:r>
      <w:r>
        <w:rPr>
          <w:rFonts w:hint="eastAsia" w:ascii="宋体" w:hAnsi="宋体"/>
          <w:color w:val="auto"/>
          <w:sz w:val="24"/>
          <w:szCs w:val="24"/>
          <w:lang w:eastAsia="zh-CN"/>
        </w:rPr>
        <w:t>附件中的采购文件</w:t>
      </w:r>
      <w:r>
        <w:rPr>
          <w:rFonts w:hint="eastAsia" w:ascii="宋体" w:hAnsi="宋体"/>
          <w:color w:val="auto"/>
          <w:sz w:val="24"/>
          <w:szCs w:val="24"/>
        </w:rPr>
        <w:t>，无论供应商下载与否，均视为已知晓所有</w:t>
      </w:r>
      <w:r>
        <w:rPr>
          <w:rFonts w:hint="eastAsia" w:ascii="宋体" w:hAnsi="宋体"/>
          <w:color w:val="auto"/>
          <w:sz w:val="24"/>
          <w:szCs w:val="24"/>
          <w:lang w:eastAsia="zh-CN"/>
        </w:rPr>
        <w:t>采购</w:t>
      </w:r>
      <w:r>
        <w:rPr>
          <w:rFonts w:hint="eastAsia" w:ascii="宋体" w:hAnsi="宋体"/>
          <w:color w:val="auto"/>
          <w:sz w:val="24"/>
          <w:szCs w:val="24"/>
        </w:rPr>
        <w:t>内容</w:t>
      </w:r>
      <w:r>
        <w:rPr>
          <w:rFonts w:hint="eastAsia" w:ascii="宋体" w:hAnsi="宋体"/>
          <w:color w:val="auto"/>
          <w:sz w:val="24"/>
          <w:szCs w:val="24"/>
          <w:lang w:eastAsia="zh-CN"/>
        </w:rPr>
        <w:t>及要求</w:t>
      </w:r>
      <w:r>
        <w:rPr>
          <w:rFonts w:hint="eastAsia" w:ascii="宋体" w:hAnsi="宋体"/>
          <w:color w:val="auto"/>
          <w:sz w:val="24"/>
          <w:szCs w:val="24"/>
        </w:rPr>
        <w:t>。</w:t>
      </w:r>
    </w:p>
    <w:p>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1、报名时间</w:t>
      </w:r>
      <w:r>
        <w:rPr>
          <w:rFonts w:hint="eastAsia" w:ascii="宋体" w:hAnsi="宋体"/>
          <w:color w:val="auto"/>
          <w:sz w:val="24"/>
          <w:szCs w:val="24"/>
          <w:lang w:val="en-US" w:eastAsia="zh-CN"/>
        </w:rPr>
        <w:t>(北京时间，余同)</w:t>
      </w:r>
      <w:r>
        <w:rPr>
          <w:rFonts w:hint="eastAsia" w:ascii="宋体" w:hAnsi="宋体"/>
          <w:color w:val="auto"/>
          <w:sz w:val="24"/>
          <w:szCs w:val="24"/>
        </w:rPr>
        <w:t>：2022年2月 28日至3月</w:t>
      </w:r>
      <w:r>
        <w:rPr>
          <w:rFonts w:hint="eastAsia" w:ascii="宋体" w:hAnsi="宋体"/>
          <w:color w:val="auto"/>
          <w:sz w:val="24"/>
          <w:szCs w:val="24"/>
          <w:lang w:val="en-US" w:eastAsia="zh-CN"/>
        </w:rPr>
        <w:t>4</w:t>
      </w:r>
      <w:r>
        <w:rPr>
          <w:rFonts w:hint="eastAsia" w:ascii="宋体" w:hAnsi="宋体"/>
          <w:color w:val="auto"/>
          <w:sz w:val="24"/>
          <w:szCs w:val="24"/>
        </w:rPr>
        <w:t>日</w:t>
      </w:r>
      <w:r>
        <w:rPr>
          <w:rFonts w:hint="eastAsia" w:ascii="宋体" w:hAnsi="宋体"/>
          <w:color w:val="auto"/>
          <w:sz w:val="24"/>
          <w:szCs w:val="24"/>
          <w:lang w:eastAsia="zh-CN"/>
        </w:rPr>
        <w:t>期间：每日上午</w:t>
      </w:r>
      <w:r>
        <w:rPr>
          <w:rFonts w:hint="eastAsia" w:ascii="宋体" w:hAnsi="宋体"/>
          <w:color w:val="auto"/>
          <w:sz w:val="24"/>
          <w:szCs w:val="24"/>
          <w:lang w:val="en-US" w:eastAsia="zh-CN"/>
        </w:rPr>
        <w:t>8:00-12:00，下午14:30-17:30，</w:t>
      </w:r>
      <w:r>
        <w:rPr>
          <w:rFonts w:hint="eastAsia" w:ascii="宋体" w:hAnsi="宋体"/>
          <w:color w:val="auto"/>
          <w:sz w:val="24"/>
          <w:szCs w:val="24"/>
          <w:lang w:eastAsia="zh-CN"/>
        </w:rPr>
        <w:t>法定节假日除外</w:t>
      </w:r>
      <w:r>
        <w:rPr>
          <w:rFonts w:hint="eastAsia" w:ascii="宋体" w:hAnsi="宋体"/>
          <w:color w:val="auto"/>
          <w:sz w:val="24"/>
          <w:szCs w:val="24"/>
        </w:rPr>
        <w:t>。</w:t>
      </w:r>
      <w:bookmarkStart w:id="72" w:name="_GoBack"/>
      <w:bookmarkEnd w:id="72"/>
    </w:p>
    <w:p>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2、报名方式：重庆市第九人民医院外科综合楼M层信息科现场报名（地址：重庆市北碚区嘉陵村69号）。</w:t>
      </w:r>
    </w:p>
    <w:p>
      <w:pPr>
        <w:ind w:firstLine="480" w:firstLineChars="200"/>
        <w:rPr>
          <w:rFonts w:hint="eastAsia" w:ascii="宋体" w:hAnsi="宋体" w:eastAsia="宋体" w:cs="宋体"/>
          <w:b/>
          <w:bCs/>
          <w:lang w:eastAsia="zh-CN"/>
        </w:rPr>
      </w:pPr>
      <w:r>
        <w:rPr>
          <w:rFonts w:hint="eastAsia" w:ascii="宋体" w:hAnsi="宋体"/>
          <w:color w:val="auto"/>
          <w:sz w:val="24"/>
          <w:szCs w:val="24"/>
        </w:rPr>
        <w:t>3、报名要求：报名时，必须持投标单位营业执照复印件、经办人的法人授权委托书及本人身份证。</w:t>
      </w:r>
      <w:r>
        <w:rPr>
          <w:rFonts w:hint="eastAsia" w:ascii="宋体" w:hAnsi="宋体"/>
          <w:b/>
          <w:bCs/>
          <w:color w:val="FF0000"/>
          <w:sz w:val="24"/>
          <w:szCs w:val="24"/>
          <w:lang w:eastAsia="zh-CN"/>
        </w:rPr>
        <w:t>注：根据疫情管控要求，来人必须提供防疫健康绿码</w:t>
      </w:r>
    </w:p>
    <w:p>
      <w:pPr>
        <w:pStyle w:val="3"/>
        <w:spacing w:before="120" w:beforeLines="50" w:line="276" w:lineRule="auto"/>
        <w:ind w:firstLine="482" w:firstLineChars="200"/>
        <w:rPr>
          <w:rFonts w:hint="eastAsia"/>
          <w:b/>
          <w:color w:val="auto"/>
          <w:sz w:val="24"/>
        </w:rPr>
      </w:pPr>
      <w:bookmarkStart w:id="20" w:name="_Toc22332"/>
      <w:bookmarkStart w:id="21" w:name="_Toc8528"/>
      <w:r>
        <w:rPr>
          <w:rFonts w:hint="eastAsia"/>
          <w:b/>
          <w:color w:val="auto"/>
          <w:sz w:val="24"/>
          <w:lang w:eastAsia="zh-CN"/>
        </w:rPr>
        <w:t>四</w:t>
      </w:r>
      <w:r>
        <w:rPr>
          <w:rFonts w:hint="eastAsia"/>
          <w:b/>
          <w:color w:val="auto"/>
          <w:sz w:val="24"/>
        </w:rPr>
        <w:t>、投标文件递交与磋商</w:t>
      </w:r>
      <w:bookmarkEnd w:id="20"/>
      <w:bookmarkEnd w:id="21"/>
    </w:p>
    <w:p>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1、递交投标文件开始和截止时间：202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10</w:t>
      </w:r>
      <w:r>
        <w:rPr>
          <w:rFonts w:hint="eastAsia" w:ascii="宋体" w:hAnsi="宋体"/>
          <w:color w:val="auto"/>
          <w:sz w:val="24"/>
          <w:szCs w:val="24"/>
        </w:rPr>
        <w:t xml:space="preserve">日上午 </w:t>
      </w:r>
      <w:r>
        <w:rPr>
          <w:rFonts w:hint="eastAsia" w:ascii="宋体" w:hAnsi="宋体"/>
          <w:color w:val="auto"/>
          <w:sz w:val="24"/>
          <w:szCs w:val="24"/>
          <w:lang w:val="en-US" w:eastAsia="zh-CN"/>
        </w:rPr>
        <w:t>10</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r>
        <w:rPr>
          <w:rFonts w:ascii="宋体" w:hAnsi="宋体"/>
          <w:color w:val="auto"/>
          <w:sz w:val="24"/>
          <w:szCs w:val="24"/>
        </w:rPr>
        <w:t>—</w:t>
      </w:r>
      <w:r>
        <w:rPr>
          <w:rFonts w:hint="eastAsia" w:ascii="宋体" w:hAnsi="宋体"/>
          <w:color w:val="auto"/>
          <w:sz w:val="24"/>
          <w:szCs w:val="24"/>
          <w:lang w:val="en-US" w:eastAsia="zh-CN"/>
        </w:rPr>
        <w:t>11</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 xml:space="preserve">0 </w:t>
      </w:r>
    </w:p>
    <w:p>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2、磋商开始时间：202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10</w:t>
      </w:r>
      <w:r>
        <w:rPr>
          <w:rFonts w:hint="eastAsia" w:ascii="宋体" w:hAnsi="宋体"/>
          <w:color w:val="auto"/>
          <w:sz w:val="24"/>
          <w:szCs w:val="24"/>
        </w:rPr>
        <w:t>日上午</w:t>
      </w:r>
      <w:r>
        <w:rPr>
          <w:rFonts w:hint="eastAsia" w:ascii="宋体" w:hAnsi="宋体"/>
          <w:color w:val="auto"/>
          <w:sz w:val="24"/>
          <w:szCs w:val="24"/>
          <w:lang w:val="en-US" w:eastAsia="zh-CN"/>
        </w:rPr>
        <w:t>11</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 xml:space="preserve">0 </w:t>
      </w:r>
    </w:p>
    <w:p>
      <w:pPr>
        <w:spacing w:line="460" w:lineRule="exact"/>
        <w:ind w:firstLine="480" w:firstLineChars="200"/>
        <w:rPr>
          <w:rFonts w:hint="eastAsia"/>
        </w:rPr>
      </w:pPr>
      <w:r>
        <w:rPr>
          <w:rFonts w:hint="eastAsia" w:ascii="宋体" w:hAnsi="宋体"/>
          <w:color w:val="auto"/>
          <w:sz w:val="24"/>
          <w:szCs w:val="24"/>
        </w:rPr>
        <w:t>注：文件递交和磋商地址：重庆市第九人民医院外科综合楼M层信息科会议室</w:t>
      </w:r>
      <w:r>
        <w:rPr>
          <w:rFonts w:hint="eastAsia" w:ascii="宋体" w:hAnsi="宋体"/>
          <w:color w:val="auto"/>
          <w:sz w:val="24"/>
          <w:szCs w:val="24"/>
          <w:lang w:eastAsia="zh-CN"/>
        </w:rPr>
        <w:t>；</w:t>
      </w:r>
      <w:r>
        <w:rPr>
          <w:rFonts w:hint="eastAsia" w:ascii="宋体" w:hAnsi="宋体"/>
          <w:b/>
          <w:bCs/>
          <w:color w:val="FF0000"/>
          <w:sz w:val="24"/>
          <w:szCs w:val="24"/>
          <w:lang w:eastAsia="zh-CN"/>
        </w:rPr>
        <w:t>根据疫情管控要求，来人必须提供防疫健康绿码</w:t>
      </w:r>
    </w:p>
    <w:p>
      <w:pPr>
        <w:pStyle w:val="3"/>
        <w:spacing w:before="120" w:beforeLines="50" w:line="276" w:lineRule="auto"/>
        <w:ind w:firstLine="482" w:firstLineChars="200"/>
        <w:rPr>
          <w:rFonts w:hint="eastAsia"/>
          <w:b/>
          <w:color w:val="auto"/>
          <w:sz w:val="24"/>
        </w:rPr>
      </w:pPr>
      <w:bookmarkStart w:id="22" w:name="_Toc2424"/>
      <w:r>
        <w:rPr>
          <w:rFonts w:hint="eastAsia"/>
          <w:b/>
          <w:color w:val="auto"/>
          <w:sz w:val="24"/>
          <w:lang w:eastAsia="zh-CN"/>
        </w:rPr>
        <w:t>五</w:t>
      </w:r>
      <w:r>
        <w:rPr>
          <w:rFonts w:hint="eastAsia"/>
          <w:b/>
          <w:color w:val="auto"/>
          <w:sz w:val="24"/>
        </w:rPr>
        <w:t>、采购人联系方式</w:t>
      </w:r>
      <w:bookmarkEnd w:id="10"/>
      <w:bookmarkEnd w:id="11"/>
      <w:bookmarkEnd w:id="12"/>
      <w:bookmarkEnd w:id="13"/>
      <w:bookmarkEnd w:id="14"/>
      <w:bookmarkEnd w:id="15"/>
      <w:bookmarkEnd w:id="16"/>
      <w:bookmarkEnd w:id="17"/>
      <w:bookmarkEnd w:id="18"/>
      <w:bookmarkEnd w:id="19"/>
      <w:bookmarkEnd w:id="22"/>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联系人： 李老师、杨老师；  联系电话：023-68209934</w:t>
      </w:r>
    </w:p>
    <w:p>
      <w:pPr>
        <w:pStyle w:val="3"/>
        <w:spacing w:before="120" w:beforeLines="50"/>
        <w:ind w:firstLine="482" w:firstLineChars="200"/>
        <w:rPr>
          <w:b/>
          <w:sz w:val="24"/>
        </w:rPr>
      </w:pPr>
      <w:bookmarkStart w:id="23" w:name="_Toc20374"/>
      <w:r>
        <w:rPr>
          <w:rFonts w:hint="eastAsia"/>
          <w:b/>
          <w:sz w:val="24"/>
        </w:rPr>
        <w:t>六、磋商保证金</w:t>
      </w:r>
      <w:bookmarkEnd w:id="6"/>
      <w:bookmarkEnd w:id="23"/>
    </w:p>
    <w:p>
      <w:pPr>
        <w:snapToGrid w:val="0"/>
        <w:spacing w:line="360" w:lineRule="auto"/>
        <w:ind w:firstLine="480" w:firstLineChars="200"/>
        <w:rPr>
          <w:rFonts w:ascii="宋体" w:hAnsi="宋体"/>
          <w:b/>
          <w:bCs/>
          <w:sz w:val="24"/>
          <w:szCs w:val="24"/>
        </w:rPr>
      </w:pPr>
      <w:r>
        <w:rPr>
          <w:rFonts w:hint="eastAsia" w:ascii="宋体" w:hAnsi="宋体"/>
          <w:sz w:val="24"/>
          <w:szCs w:val="24"/>
        </w:rPr>
        <w:t>1、供应商应足额交纳磋商保证金（保证金金额详见本篇，一、招标项目内容），并汇至以下账户，磋商保证金的到账截止时间同响应文件提交截止时间。</w:t>
      </w:r>
      <w:r>
        <w:rPr>
          <w:rFonts w:hint="eastAsia" w:ascii="宋体" w:hAnsi="宋体"/>
          <w:b/>
          <w:bCs/>
          <w:sz w:val="24"/>
          <w:szCs w:val="24"/>
        </w:rPr>
        <w:t>（请各潜在供应商在缴纳投标保证金时一定按要求打款至以下指定账户，否则会导致投标无效）</w:t>
      </w:r>
    </w:p>
    <w:p>
      <w:pPr>
        <w:snapToGrid w:val="0"/>
        <w:spacing w:line="360" w:lineRule="auto"/>
        <w:ind w:firstLine="480" w:firstLineChars="200"/>
        <w:rPr>
          <w:rFonts w:ascii="宋体" w:hAnsi="宋体"/>
          <w:sz w:val="24"/>
          <w:szCs w:val="24"/>
        </w:rPr>
      </w:pPr>
      <w:r>
        <w:rPr>
          <w:rFonts w:hint="eastAsia" w:ascii="宋体" w:hAnsi="宋体"/>
          <w:sz w:val="24"/>
          <w:szCs w:val="24"/>
        </w:rPr>
        <w:t>磋商保证金账户：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名：重庆市第九人民医院</w:t>
      </w:r>
    </w:p>
    <w:tbl>
      <w:tblPr>
        <w:tblStyle w:val="58"/>
        <w:tblW w:w="7893" w:type="dxa"/>
        <w:jc w:val="center"/>
        <w:tblLayout w:type="fixed"/>
        <w:tblCellMar>
          <w:top w:w="0" w:type="dxa"/>
          <w:left w:w="0" w:type="dxa"/>
          <w:bottom w:w="0" w:type="dxa"/>
          <w:right w:w="0" w:type="dxa"/>
        </w:tblCellMar>
      </w:tblPr>
      <w:tblGrid>
        <w:gridCol w:w="2075"/>
        <w:gridCol w:w="5818"/>
      </w:tblGrid>
      <w:tr>
        <w:tblPrEx>
          <w:tblCellMar>
            <w:top w:w="0" w:type="dxa"/>
            <w:left w:w="0" w:type="dxa"/>
            <w:bottom w:w="0" w:type="dxa"/>
            <w:right w:w="0" w:type="dxa"/>
          </w:tblCellMar>
        </w:tblPrEx>
        <w:trPr>
          <w:trHeight w:val="444" w:hRule="exact"/>
          <w:jc w:val="center"/>
        </w:trPr>
        <w:tc>
          <w:tcPr>
            <w:tcW w:w="207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360" w:lineRule="auto"/>
              <w:jc w:val="center"/>
              <w:rPr>
                <w:rFonts w:ascii="宋体" w:hAnsi="宋体" w:cs="宋体"/>
                <w:spacing w:val="-2"/>
                <w:sz w:val="21"/>
                <w:szCs w:val="21"/>
              </w:rPr>
            </w:pPr>
            <w:r>
              <w:rPr>
                <w:rFonts w:hint="eastAsia" w:ascii="宋体" w:hAnsi="宋体" w:cs="宋体"/>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360" w:lineRule="auto"/>
              <w:jc w:val="center"/>
              <w:rPr>
                <w:rFonts w:ascii="宋体" w:hAnsi="宋体" w:cs="宋体"/>
                <w:spacing w:val="-2"/>
                <w:sz w:val="21"/>
                <w:szCs w:val="21"/>
              </w:rPr>
            </w:pPr>
            <w:r>
              <w:rPr>
                <w:rFonts w:hint="eastAsia" w:ascii="宋体" w:hAnsi="宋体" w:cs="宋体"/>
                <w:spacing w:val="-2"/>
                <w:sz w:val="21"/>
                <w:szCs w:val="21"/>
              </w:rPr>
              <w:t>建行北碚支行</w:t>
            </w:r>
          </w:p>
        </w:tc>
      </w:tr>
      <w:tr>
        <w:tblPrEx>
          <w:tblCellMar>
            <w:top w:w="0" w:type="dxa"/>
            <w:left w:w="0" w:type="dxa"/>
            <w:bottom w:w="0" w:type="dxa"/>
            <w:right w:w="0" w:type="dxa"/>
          </w:tblCellMar>
        </w:tblPrEx>
        <w:trPr>
          <w:trHeight w:val="459" w:hRule="exact"/>
          <w:jc w:val="center"/>
        </w:trPr>
        <w:tc>
          <w:tcPr>
            <w:tcW w:w="207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360" w:lineRule="auto"/>
              <w:jc w:val="center"/>
              <w:rPr>
                <w:rFonts w:ascii="宋体" w:hAnsi="宋体" w:cs="宋体"/>
                <w:spacing w:val="-2"/>
                <w:sz w:val="21"/>
                <w:szCs w:val="21"/>
              </w:rPr>
            </w:pPr>
            <w:r>
              <w:rPr>
                <w:rFonts w:hint="eastAsia" w:ascii="宋体" w:hAnsi="宋体" w:cs="宋体"/>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360" w:lineRule="auto"/>
              <w:jc w:val="center"/>
              <w:rPr>
                <w:rFonts w:ascii="宋体" w:hAnsi="宋体" w:cs="宋体"/>
                <w:spacing w:val="-2"/>
                <w:sz w:val="21"/>
                <w:szCs w:val="21"/>
              </w:rPr>
            </w:pPr>
            <w:r>
              <w:rPr>
                <w:rFonts w:hint="eastAsia" w:cs="宋体"/>
                <w:sz w:val="24"/>
              </w:rPr>
              <w:t>5000 1093 6000 5001 2527</w:t>
            </w:r>
          </w:p>
        </w:tc>
      </w:tr>
    </w:tbl>
    <w:p>
      <w:pPr>
        <w:numPr>
          <w:ilvl w:val="0"/>
          <w:numId w:val="17"/>
        </w:numPr>
        <w:snapToGrid w:val="0"/>
        <w:spacing w:line="360" w:lineRule="auto"/>
        <w:ind w:firstLine="480" w:firstLineChars="200"/>
        <w:rPr>
          <w:rFonts w:ascii="宋体" w:hAnsi="宋体"/>
          <w:sz w:val="24"/>
          <w:szCs w:val="24"/>
        </w:rPr>
      </w:pPr>
      <w:r>
        <w:rPr>
          <w:rFonts w:hint="eastAsia" w:ascii="宋体" w:hAnsi="宋体"/>
          <w:sz w:val="24"/>
          <w:szCs w:val="24"/>
        </w:rPr>
        <w:t>供应商在递交保证金时，应在付款凭证备注栏中注明项目名称（项目名称：</w:t>
      </w:r>
      <w:r>
        <w:rPr>
          <w:rFonts w:hint="eastAsia" w:ascii="宋体" w:hAnsi="宋体"/>
          <w:sz w:val="24"/>
          <w:szCs w:val="24"/>
          <w:u w:val="single"/>
        </w:rPr>
        <w:t>单病种系统，可简称为“单病种”</w:t>
      </w:r>
      <w:r>
        <w:rPr>
          <w:rFonts w:hint="eastAsia" w:ascii="宋体" w:hAnsi="宋体"/>
          <w:sz w:val="24"/>
          <w:szCs w:val="24"/>
        </w:rPr>
        <w:t>），</w:t>
      </w:r>
      <w:r>
        <w:rPr>
          <w:rFonts w:hint="eastAsia" w:ascii="宋体" w:hAnsi="宋体"/>
          <w:b/>
          <w:bCs/>
          <w:sz w:val="24"/>
          <w:szCs w:val="24"/>
        </w:rPr>
        <w:t>到款账户为上述指定的保证金专用账户，</w:t>
      </w:r>
      <w:r>
        <w:rPr>
          <w:rFonts w:hint="eastAsia" w:ascii="宋体" w:hAnsi="宋体"/>
          <w:sz w:val="24"/>
          <w:szCs w:val="24"/>
        </w:rPr>
        <w:t>来款账户必须与参与磋商的供应商名称一致。</w:t>
      </w:r>
    </w:p>
    <w:p>
      <w:pPr>
        <w:numPr>
          <w:ilvl w:val="0"/>
          <w:numId w:val="17"/>
        </w:numPr>
        <w:snapToGrid w:val="0"/>
        <w:spacing w:line="360" w:lineRule="auto"/>
        <w:ind w:firstLine="480" w:firstLineChars="200"/>
        <w:rPr>
          <w:rFonts w:ascii="宋体" w:hAnsi="宋体"/>
          <w:sz w:val="24"/>
          <w:szCs w:val="24"/>
        </w:rPr>
      </w:pPr>
      <w:r>
        <w:rPr>
          <w:rFonts w:hint="eastAsia" w:ascii="宋体" w:hAnsi="宋体"/>
          <w:sz w:val="24"/>
          <w:szCs w:val="24"/>
        </w:rPr>
        <w:t>参与磋商的供应商在银行转账（电汇）时，须充分考虑银行转账（电汇）的时间差风险，如同城转账、异地转账或汇款、跨行转账或电汇的时间要求。如因时间差等原因导致在磋商保证金到账截止时间内，无法查实磋商保证金是否到账的，将视为无效投标，该后果由供应商自行承担。（供应商参与磋商时应手持磋商保证金付款凭证以备查验）</w:t>
      </w:r>
    </w:p>
    <w:p>
      <w:pPr>
        <w:snapToGrid w:val="0"/>
        <w:spacing w:line="360" w:lineRule="auto"/>
        <w:ind w:firstLine="480" w:firstLineChars="200"/>
        <w:rPr>
          <w:rFonts w:ascii="宋体" w:hAnsi="宋体"/>
          <w:sz w:val="24"/>
          <w:szCs w:val="24"/>
        </w:rPr>
      </w:pPr>
      <w:r>
        <w:rPr>
          <w:rFonts w:hint="eastAsia" w:ascii="宋体" w:hAnsi="宋体"/>
          <w:sz w:val="24"/>
          <w:szCs w:val="24"/>
        </w:rPr>
        <w:t>4、如本次采购终止，在本次磋商中缴纳保证金的供应商，若参加本项目下一次采购需要重新缴纳保证金，本次的磋商保证金会按照相关程序进行退还。</w:t>
      </w:r>
    </w:p>
    <w:p>
      <w:pPr>
        <w:snapToGrid w:val="0"/>
        <w:spacing w:line="360" w:lineRule="auto"/>
        <w:ind w:firstLine="480" w:firstLineChars="200"/>
        <w:rPr>
          <w:rFonts w:ascii="宋体" w:hAnsi="宋体"/>
          <w:sz w:val="24"/>
          <w:szCs w:val="24"/>
        </w:rPr>
      </w:pPr>
      <w:r>
        <w:rPr>
          <w:rFonts w:hint="eastAsia" w:ascii="宋体" w:hAnsi="宋体"/>
          <w:sz w:val="24"/>
          <w:szCs w:val="24"/>
        </w:rPr>
        <w:t>5、保证金退还方式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（1）未成交供应商的保证金，在成交通知书发放后，采购人在五个工作日内按来款渠道直接退还。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（2）成交供应商的保证金，在成交供应商与采购人签订合同后，采购人在五个工作日内按资金来款渠道直接退还。</w:t>
      </w:r>
    </w:p>
    <w:p>
      <w:pPr>
        <w:snapToGrid w:val="0"/>
        <w:spacing w:line="360" w:lineRule="auto"/>
        <w:ind w:firstLine="480" w:firstLineChars="200"/>
        <w:rPr>
          <w:rFonts w:ascii="宋体" w:hAnsi="宋体"/>
        </w:rPr>
      </w:pPr>
      <w:r>
        <w:rPr>
          <w:rFonts w:hint="eastAsia" w:ascii="宋体" w:hAnsi="宋体"/>
          <w:sz w:val="24"/>
          <w:szCs w:val="24"/>
        </w:rPr>
        <w:t>6、保证金查询电话：023-68203422</w:t>
      </w:r>
    </w:p>
    <w:p>
      <w:pPr>
        <w:pStyle w:val="3"/>
        <w:spacing w:before="120" w:beforeLines="50"/>
        <w:ind w:firstLine="482" w:firstLineChars="200"/>
        <w:rPr>
          <w:b/>
          <w:sz w:val="24"/>
        </w:rPr>
      </w:pPr>
      <w:bookmarkStart w:id="24" w:name="_Toc22248"/>
      <w:r>
        <w:rPr>
          <w:rFonts w:hint="eastAsia"/>
          <w:b/>
          <w:sz w:val="24"/>
        </w:rPr>
        <w:t>七、采购项目需落实的政府采购政策</w:t>
      </w:r>
      <w:bookmarkEnd w:id="24"/>
    </w:p>
    <w:p>
      <w:pPr>
        <w:snapToGrid w:val="0"/>
        <w:spacing w:line="360" w:lineRule="auto"/>
        <w:ind w:firstLine="480" w:firstLineChars="200"/>
        <w:rPr>
          <w:rFonts w:ascii="宋体" w:hAnsi="宋体"/>
          <w:sz w:val="24"/>
          <w:szCs w:val="24"/>
        </w:rPr>
      </w:pPr>
      <w:r>
        <w:rPr>
          <w:rFonts w:hint="eastAsia" w:ascii="宋体" w:hAnsi="宋体"/>
          <w:sz w:val="24"/>
          <w:szCs w:val="24"/>
        </w:rPr>
        <w:t>（一）《财政部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（二）按照《财政部 工业和信息化部关于印发&lt;政府采购促进中小企业发展暂行办法&gt;的通知》（财库〔2011〕181号）的规定，落实促进中小企业发展政策。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（三）按照《财政部、司法部关于政府采购支持监狱企业发展有关问题的通知》（财库〔2014〕68号）的规定，落实支持监狱企业发展政策。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（四）按照《三部门联合发布关于促进残疾人就业政府采购政策的通知》（财库〔2017〕 141号）的规定，落实支持残疾人福利性单位发展政策。</w:t>
      </w:r>
    </w:p>
    <w:p>
      <w:pPr>
        <w:pStyle w:val="3"/>
        <w:ind w:firstLine="482" w:firstLineChars="200"/>
        <w:rPr>
          <w:b/>
          <w:sz w:val="24"/>
        </w:rPr>
      </w:pPr>
      <w:bookmarkStart w:id="25" w:name="_Toc441065658"/>
      <w:bookmarkStart w:id="26" w:name="_Toc29599"/>
      <w:r>
        <w:rPr>
          <w:rFonts w:hint="eastAsia"/>
          <w:b/>
          <w:sz w:val="24"/>
        </w:rPr>
        <w:t>八、磋商有关规定</w:t>
      </w:r>
      <w:bookmarkEnd w:id="25"/>
      <w:bookmarkEnd w:id="26"/>
    </w:p>
    <w:p>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（一）单位负责人为同一人或者存在直接控股、管理关系的不同供应商，不得参加同一合同项（分包）下的采购活动。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w:t>
      </w:r>
    </w:p>
    <w:p>
      <w:pPr>
        <w:snapToGrid w:val="0"/>
        <w:spacing w:line="360" w:lineRule="auto"/>
        <w:ind w:firstLine="480" w:firstLineChars="200"/>
        <w:rPr>
          <w:rFonts w:ascii="宋体" w:hAnsi="宋体"/>
          <w:sz w:val="24"/>
          <w:szCs w:val="24"/>
        </w:rPr>
      </w:pPr>
      <w:r>
        <w:rPr>
          <w:rFonts w:hint="eastAsia" w:ascii="宋体" w:hAnsi="宋体"/>
          <w:sz w:val="24"/>
          <w:szCs w:val="24"/>
        </w:rPr>
        <w:t>（三）本项目的补遗文件（如果有）一律在重庆市第九人民医院官方网站（www.cq9yuan.com）上发布，请各供应商注意下载；无论供应商下载与否，均视同供应商已知晓本项目补遗文件的内容。</w:t>
      </w:r>
    </w:p>
    <w:p>
      <w:pPr>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pPr>
        <w:spacing w:line="360" w:lineRule="auto"/>
        <w:ind w:firstLine="480" w:firstLineChars="200"/>
        <w:rPr>
          <w:rFonts w:ascii="宋体" w:hAnsi="宋体"/>
          <w:sz w:val="24"/>
          <w:szCs w:val="24"/>
        </w:rPr>
      </w:pPr>
      <w:r>
        <w:rPr>
          <w:rFonts w:hint="eastAsia" w:ascii="宋体" w:hAnsi="宋体"/>
          <w:sz w:val="24"/>
          <w:szCs w:val="24"/>
        </w:rPr>
        <w:t>1、响应文件提交截止时间前按时签到；</w:t>
      </w:r>
    </w:p>
    <w:p>
      <w:pPr>
        <w:spacing w:line="360" w:lineRule="auto"/>
        <w:ind w:firstLine="480" w:firstLineChars="200"/>
        <w:rPr>
          <w:rFonts w:ascii="宋体" w:hAnsi="宋体"/>
          <w:sz w:val="24"/>
          <w:szCs w:val="24"/>
        </w:rPr>
      </w:pPr>
      <w:r>
        <w:rPr>
          <w:rFonts w:hint="eastAsia" w:ascii="宋体" w:hAnsi="宋体"/>
          <w:sz w:val="24"/>
          <w:szCs w:val="24"/>
        </w:rPr>
        <w:t>2、响应文件提交截止时间前完成了响应文件的递交；</w:t>
      </w:r>
    </w:p>
    <w:p>
      <w:pPr>
        <w:spacing w:line="360" w:lineRule="auto"/>
        <w:ind w:firstLine="480" w:firstLineChars="200"/>
        <w:rPr>
          <w:rFonts w:ascii="宋体" w:hAnsi="宋体"/>
          <w:sz w:val="24"/>
          <w:szCs w:val="24"/>
        </w:rPr>
      </w:pPr>
      <w:r>
        <w:rPr>
          <w:rFonts w:hint="eastAsia" w:ascii="宋体" w:hAnsi="宋体"/>
          <w:sz w:val="24"/>
          <w:szCs w:val="24"/>
        </w:rPr>
        <w:t>3、提交响应文件截止时间前缴纳（采购人收到款项时间为准）磋商保证金。</w:t>
      </w:r>
    </w:p>
    <w:p>
      <w:pPr>
        <w:snapToGrid w:val="0"/>
        <w:spacing w:line="360" w:lineRule="auto"/>
        <w:ind w:firstLine="480" w:firstLineChars="200"/>
        <w:rPr>
          <w:rFonts w:ascii="宋体" w:hAnsi="宋体"/>
          <w:sz w:val="24"/>
          <w:szCs w:val="24"/>
        </w:rPr>
      </w:pPr>
      <w:r>
        <w:rPr>
          <w:rFonts w:hint="eastAsia" w:ascii="宋体" w:hAnsi="宋体"/>
          <w:sz w:val="24"/>
          <w:szCs w:val="24"/>
        </w:rPr>
        <w:t>（六）磋商费用：无论磋商结果如何，供应商参与本项目的所有费用均应由供应商自行承担。</w:t>
      </w:r>
    </w:p>
    <w:p>
      <w:pPr>
        <w:pStyle w:val="2"/>
        <w:spacing w:before="0" w:beforeLines="0" w:after="0" w:afterLines="0" w:line="360" w:lineRule="auto"/>
        <w:rPr>
          <w:rFonts w:ascii="宋体" w:hAnsi="宋体" w:eastAsia="宋体"/>
        </w:rPr>
      </w:pPr>
      <w:bookmarkStart w:id="27" w:name="_Toc441065660"/>
      <w:r>
        <w:rPr>
          <w:rFonts w:ascii="宋体" w:hAnsi="宋体" w:eastAsia="宋体"/>
        </w:rPr>
        <w:br w:type="page"/>
      </w:r>
      <w:bookmarkStart w:id="28" w:name="_Toc1639"/>
      <w:r>
        <w:rPr>
          <w:rFonts w:hint="eastAsia" w:ascii="宋体" w:hAnsi="宋体" w:eastAsia="宋体"/>
        </w:rPr>
        <w:t>第二篇 项目具体要求</w:t>
      </w:r>
      <w:bookmarkEnd w:id="27"/>
      <w:bookmarkEnd w:id="28"/>
      <w:bookmarkStart w:id="29" w:name="_Toc441065661"/>
    </w:p>
    <w:bookmarkEnd w:id="29"/>
    <w:p>
      <w:pPr>
        <w:pStyle w:val="221"/>
        <w:adjustRightInd w:val="0"/>
        <w:snapToGrid w:val="0"/>
        <w:spacing w:before="0"/>
        <w:ind w:firstLine="480" w:firstLineChars="200"/>
        <w:rPr>
          <w:rFonts w:ascii="宋体" w:hAnsi="宋体" w:eastAsia="宋体"/>
        </w:rPr>
      </w:pPr>
    </w:p>
    <w:p>
      <w:pPr>
        <w:pStyle w:val="3"/>
        <w:jc w:val="center"/>
        <w:rPr>
          <w:b/>
          <w:sz w:val="32"/>
          <w:szCs w:val="22"/>
        </w:rPr>
      </w:pPr>
      <w:bookmarkStart w:id="30" w:name="_Toc20600"/>
      <w:r>
        <w:rPr>
          <w:rFonts w:hint="eastAsia"/>
          <w:b/>
          <w:sz w:val="32"/>
          <w:szCs w:val="22"/>
        </w:rPr>
        <w:t>第一部分 技术要求</w:t>
      </w:r>
      <w:bookmarkEnd w:id="30"/>
    </w:p>
    <w:p>
      <w:pPr>
        <w:pStyle w:val="4"/>
        <w:spacing w:before="120" w:after="0" w:line="360" w:lineRule="auto"/>
        <w:jc w:val="left"/>
        <w:rPr>
          <w:rFonts w:ascii="宋体" w:hAnsi="宋体" w:cs="宋体"/>
          <w:bCs/>
          <w:sz w:val="28"/>
          <w:szCs w:val="28"/>
        </w:rPr>
      </w:pPr>
      <w:r>
        <w:rPr>
          <w:rFonts w:hint="eastAsia" w:ascii="宋体" w:hAnsi="宋体" w:cs="宋体"/>
          <w:bCs/>
          <w:sz w:val="28"/>
          <w:szCs w:val="28"/>
        </w:rPr>
        <w:t>一、项目</w:t>
      </w:r>
      <w:r>
        <w:rPr>
          <w:rFonts w:hint="eastAsia" w:ascii="宋体" w:hAnsi="宋体"/>
          <w:sz w:val="28"/>
          <w:szCs w:val="28"/>
        </w:rPr>
        <w:t>概况</w:t>
      </w:r>
    </w:p>
    <w:p>
      <w:pPr>
        <w:spacing w:line="360" w:lineRule="auto"/>
        <w:rPr>
          <w:rFonts w:ascii="宋体" w:hAnsi="宋体" w:cs="宋体"/>
          <w:b/>
          <w:bCs/>
          <w:sz w:val="24"/>
        </w:rPr>
      </w:pPr>
      <w:r>
        <w:rPr>
          <w:rFonts w:hint="eastAsia" w:ascii="宋体" w:hAnsi="宋体" w:cs="宋体"/>
          <w:b/>
          <w:bCs/>
          <w:sz w:val="24"/>
        </w:rPr>
        <w:t>（一）背景</w:t>
      </w:r>
    </w:p>
    <w:p>
      <w:pPr>
        <w:spacing w:line="360" w:lineRule="auto"/>
        <w:rPr>
          <w:rFonts w:ascii="宋体" w:hAnsi="宋体" w:cs="宋体"/>
          <w:sz w:val="24"/>
        </w:rPr>
      </w:pPr>
      <w:r>
        <w:rPr>
          <w:rFonts w:ascii="宋体" w:hAnsi="宋体" w:cs="宋体"/>
          <w:sz w:val="24"/>
        </w:rPr>
        <w:tab/>
      </w:r>
      <w:r>
        <w:rPr>
          <w:rFonts w:hint="eastAsia" w:ascii="宋体" w:hAnsi="宋体" w:cs="宋体"/>
          <w:sz w:val="24"/>
        </w:rPr>
        <w:t>按照</w:t>
      </w:r>
      <w:r>
        <w:rPr>
          <w:rFonts w:hint="eastAsia" w:ascii="宋体" w:hAnsi="宋体" w:cs="宋体"/>
          <w:sz w:val="24"/>
          <w:lang w:eastAsia="zh-CN"/>
        </w:rPr>
        <w:t>卫健</w:t>
      </w:r>
      <w:r>
        <w:rPr>
          <w:rFonts w:hint="eastAsia" w:ascii="宋体" w:hAnsi="宋体" w:cs="宋体"/>
          <w:sz w:val="24"/>
        </w:rPr>
        <w:t>委公布的单病种名录、根据各医疗机构实际情况设置单病种数量并规范管理流程，理解和应用每一个单病种、每一项质量控制指标，依据国家发布的最新对接方式，实现数据有效对接管理。</w:t>
      </w:r>
    </w:p>
    <w:p>
      <w:pPr>
        <w:spacing w:line="360" w:lineRule="auto"/>
        <w:rPr>
          <w:rFonts w:ascii="宋体" w:hAnsi="宋体" w:cs="宋体"/>
          <w:b/>
          <w:bCs/>
          <w:sz w:val="24"/>
        </w:rPr>
      </w:pPr>
      <w:r>
        <w:rPr>
          <w:rFonts w:hint="eastAsia" w:ascii="宋体" w:hAnsi="宋体" w:cs="宋体"/>
          <w:b/>
          <w:bCs/>
          <w:sz w:val="24"/>
        </w:rPr>
        <w:t>（二）总体技术要求</w:t>
      </w:r>
    </w:p>
    <w:p>
      <w:pPr>
        <w:numPr>
          <w:ilvl w:val="0"/>
          <w:numId w:val="18"/>
        </w:numPr>
        <w:spacing w:line="360" w:lineRule="auto"/>
        <w:jc w:val="left"/>
        <w:rPr>
          <w:rFonts w:ascii="宋体" w:hAnsi="宋体" w:cs="方正仿宋_GBK"/>
          <w:sz w:val="24"/>
          <w:szCs w:val="24"/>
        </w:rPr>
      </w:pPr>
      <w:r>
        <w:rPr>
          <w:rFonts w:hint="eastAsia" w:ascii="宋体" w:hAnsi="宋体" w:cs="方正仿宋_GBK"/>
          <w:sz w:val="24"/>
          <w:szCs w:val="24"/>
        </w:rPr>
        <w:t>可扩充性</w:t>
      </w:r>
    </w:p>
    <w:p>
      <w:pPr>
        <w:spacing w:line="360" w:lineRule="auto"/>
        <w:ind w:firstLine="280"/>
        <w:jc w:val="left"/>
        <w:rPr>
          <w:rFonts w:ascii="宋体" w:hAnsi="宋体" w:cs="方正仿宋_GBK"/>
          <w:sz w:val="24"/>
          <w:szCs w:val="28"/>
        </w:rPr>
      </w:pPr>
      <w:r>
        <w:rPr>
          <w:rFonts w:hint="eastAsia" w:ascii="宋体" w:hAnsi="宋体" w:cs="方正仿宋_GBK"/>
          <w:sz w:val="24"/>
          <w:szCs w:val="28"/>
        </w:rPr>
        <w:t>由于采购人的系统会不断的增加，随着信息化建设的不断完善，越来越多临床科室会依赖于系统所供的相关信息，系统中的数据量也会越来越大，规模和要求越来越大，所以软件结构上要符合今后系统扩充的要求。</w:t>
      </w:r>
    </w:p>
    <w:p>
      <w:pPr>
        <w:numPr>
          <w:ilvl w:val="0"/>
          <w:numId w:val="18"/>
        </w:numPr>
        <w:spacing w:line="360" w:lineRule="auto"/>
        <w:jc w:val="left"/>
        <w:rPr>
          <w:rFonts w:ascii="宋体" w:hAnsi="宋体" w:cs="方正仿宋_GBK"/>
          <w:sz w:val="24"/>
          <w:szCs w:val="24"/>
        </w:rPr>
      </w:pPr>
      <w:r>
        <w:rPr>
          <w:rFonts w:hint="eastAsia" w:ascii="宋体" w:hAnsi="宋体" w:cs="方正仿宋_GBK"/>
          <w:sz w:val="24"/>
          <w:szCs w:val="24"/>
        </w:rPr>
        <w:t>易维护性</w:t>
      </w:r>
    </w:p>
    <w:p>
      <w:pPr>
        <w:spacing w:line="360" w:lineRule="auto"/>
        <w:ind w:firstLine="280"/>
        <w:jc w:val="left"/>
        <w:rPr>
          <w:rFonts w:ascii="宋体" w:hAnsi="宋体" w:cs="方正仿宋_GBK"/>
          <w:sz w:val="24"/>
          <w:szCs w:val="28"/>
        </w:rPr>
      </w:pPr>
      <w:r>
        <w:rPr>
          <w:rFonts w:hint="eastAsia" w:ascii="宋体" w:hAnsi="宋体" w:cs="方正仿宋_GBK"/>
          <w:sz w:val="24"/>
          <w:szCs w:val="28"/>
        </w:rPr>
        <w:t>应用系统的设计应充分考虑系统的易维护性，设计上尽量采用易于维护的系统平台，保证操作简单，且维护成本较低。</w:t>
      </w:r>
    </w:p>
    <w:p>
      <w:pPr>
        <w:numPr>
          <w:ilvl w:val="0"/>
          <w:numId w:val="18"/>
        </w:numPr>
        <w:spacing w:line="360" w:lineRule="auto"/>
        <w:jc w:val="left"/>
        <w:rPr>
          <w:rFonts w:ascii="宋体" w:hAnsi="宋体" w:cs="方正仿宋_GBK"/>
          <w:sz w:val="24"/>
          <w:szCs w:val="24"/>
        </w:rPr>
      </w:pPr>
      <w:r>
        <w:rPr>
          <w:rFonts w:hint="eastAsia" w:ascii="宋体" w:hAnsi="宋体" w:cs="方正仿宋_GBK"/>
          <w:sz w:val="24"/>
          <w:szCs w:val="24"/>
        </w:rPr>
        <w:t>可操作性</w:t>
      </w:r>
    </w:p>
    <w:p>
      <w:pPr>
        <w:spacing w:line="360" w:lineRule="auto"/>
        <w:ind w:firstLine="280"/>
        <w:jc w:val="left"/>
        <w:rPr>
          <w:rFonts w:ascii="宋体" w:hAnsi="宋体" w:cs="方正仿宋_GBK"/>
          <w:sz w:val="24"/>
          <w:szCs w:val="28"/>
        </w:rPr>
      </w:pPr>
      <w:r>
        <w:rPr>
          <w:rFonts w:hint="eastAsia" w:ascii="宋体" w:hAnsi="宋体" w:cs="方正仿宋_GBK"/>
          <w:sz w:val="24"/>
          <w:szCs w:val="28"/>
        </w:rPr>
        <w:t>应用系统的界面友好，需要充分考虑使用人员的特点，使图像处理工作简单、方便、快捷，功能齐全，系统数据维护方便，备份及数据恢复快速简单。</w:t>
      </w:r>
    </w:p>
    <w:p>
      <w:pPr>
        <w:numPr>
          <w:ilvl w:val="0"/>
          <w:numId w:val="18"/>
        </w:numPr>
        <w:spacing w:line="360" w:lineRule="auto"/>
        <w:jc w:val="left"/>
        <w:rPr>
          <w:rFonts w:ascii="宋体" w:hAnsi="宋体" w:cs="方正仿宋_GBK"/>
          <w:sz w:val="24"/>
          <w:szCs w:val="24"/>
        </w:rPr>
      </w:pPr>
      <w:r>
        <w:rPr>
          <w:rFonts w:hint="eastAsia" w:ascii="宋体" w:hAnsi="宋体" w:cs="方正仿宋_GBK"/>
          <w:sz w:val="24"/>
          <w:szCs w:val="24"/>
        </w:rPr>
        <w:t>★系统升级</w:t>
      </w:r>
    </w:p>
    <w:p>
      <w:pPr>
        <w:spacing w:line="360" w:lineRule="auto"/>
        <w:ind w:firstLine="280"/>
        <w:jc w:val="left"/>
        <w:rPr>
          <w:rFonts w:ascii="宋体" w:hAnsi="宋体" w:cs="方正仿宋_GBK"/>
          <w:sz w:val="24"/>
          <w:szCs w:val="28"/>
        </w:rPr>
      </w:pPr>
      <w:r>
        <w:rPr>
          <w:rFonts w:hint="eastAsia" w:ascii="宋体" w:hAnsi="宋体" w:cs="方正仿宋_GBK"/>
          <w:sz w:val="24"/>
          <w:szCs w:val="28"/>
        </w:rPr>
        <w:t>为保障单病种系统与现有H</w:t>
      </w:r>
      <w:r>
        <w:rPr>
          <w:rFonts w:ascii="宋体" w:hAnsi="宋体" w:cs="方正仿宋_GBK"/>
          <w:sz w:val="24"/>
          <w:szCs w:val="28"/>
        </w:rPr>
        <w:t>IS</w:t>
      </w:r>
      <w:r>
        <w:rPr>
          <w:rFonts w:hint="eastAsia" w:ascii="宋体" w:hAnsi="宋体" w:cs="方正仿宋_GBK"/>
          <w:sz w:val="24"/>
          <w:szCs w:val="28"/>
        </w:rPr>
        <w:t>系统的界面一体化操作，对现有H</w:t>
      </w:r>
      <w:r>
        <w:rPr>
          <w:rFonts w:ascii="宋体" w:hAnsi="宋体" w:cs="方正仿宋_GBK"/>
          <w:sz w:val="24"/>
          <w:szCs w:val="28"/>
        </w:rPr>
        <w:t>IS</w:t>
      </w:r>
      <w:r>
        <w:rPr>
          <w:rFonts w:hint="eastAsia" w:ascii="宋体" w:hAnsi="宋体" w:cs="方正仿宋_GBK"/>
          <w:sz w:val="24"/>
          <w:szCs w:val="28"/>
        </w:rPr>
        <w:t>业务系统进行升级，涉及到现有H</w:t>
      </w:r>
      <w:r>
        <w:rPr>
          <w:rFonts w:ascii="宋体" w:hAnsi="宋体" w:cs="方正仿宋_GBK"/>
          <w:sz w:val="24"/>
          <w:szCs w:val="28"/>
        </w:rPr>
        <w:t>IS</w:t>
      </w:r>
      <w:r>
        <w:rPr>
          <w:rFonts w:hint="eastAsia" w:ascii="宋体" w:hAnsi="宋体" w:cs="方正仿宋_GBK"/>
          <w:sz w:val="24"/>
          <w:szCs w:val="28"/>
        </w:rPr>
        <w:t>系统升级产生的费用由中标人全额承担</w:t>
      </w:r>
      <w:r>
        <w:rPr>
          <w:rFonts w:hint="eastAsia" w:ascii="宋体" w:hAnsi="宋体" w:cs="方正仿宋_GBK"/>
          <w:sz w:val="24"/>
          <w:szCs w:val="28"/>
          <w:lang w:eastAsia="zh-CN"/>
        </w:rPr>
        <w:t>并</w:t>
      </w:r>
      <w:r>
        <w:rPr>
          <w:rFonts w:hint="eastAsia" w:ascii="宋体" w:hAnsi="宋体" w:cs="方正仿宋_GBK"/>
          <w:b/>
          <w:bCs/>
          <w:color w:val="auto"/>
          <w:sz w:val="24"/>
          <w:szCs w:val="28"/>
          <w:lang w:eastAsia="zh-CN"/>
        </w:rPr>
        <w:t>提供承诺函</w:t>
      </w:r>
      <w:r>
        <w:rPr>
          <w:rFonts w:hint="eastAsia" w:ascii="宋体" w:hAnsi="宋体" w:cs="方正仿宋_GBK"/>
          <w:sz w:val="24"/>
          <w:szCs w:val="28"/>
        </w:rPr>
        <w:t>。</w:t>
      </w:r>
    </w:p>
    <w:p>
      <w:pPr>
        <w:numPr>
          <w:ilvl w:val="0"/>
          <w:numId w:val="18"/>
        </w:numPr>
        <w:spacing w:line="360" w:lineRule="auto"/>
        <w:jc w:val="left"/>
        <w:rPr>
          <w:rFonts w:ascii="宋体" w:hAnsi="宋体" w:cs="方正仿宋_GBK"/>
          <w:sz w:val="24"/>
          <w:szCs w:val="24"/>
        </w:rPr>
      </w:pPr>
      <w:r>
        <w:rPr>
          <w:rFonts w:hint="eastAsia" w:ascii="宋体" w:hAnsi="宋体" w:cs="方正仿宋_GBK"/>
          <w:sz w:val="24"/>
          <w:szCs w:val="24"/>
        </w:rPr>
        <w:t>★无缝对接</w:t>
      </w:r>
    </w:p>
    <w:p>
      <w:pPr>
        <w:pStyle w:val="15"/>
        <w:ind w:firstLine="360" w:firstLineChars="150"/>
        <w:jc w:val="left"/>
        <w:rPr>
          <w:rFonts w:ascii="宋体" w:hAnsi="宋体" w:cs="方正仿宋_GBK"/>
          <w:szCs w:val="28"/>
        </w:rPr>
      </w:pPr>
      <w:r>
        <w:rPr>
          <w:rFonts w:hint="eastAsia" w:ascii="宋体" w:hAnsi="宋体" w:cs="方正仿宋_GBK"/>
          <w:szCs w:val="28"/>
        </w:rPr>
        <w:t>投标人承诺单病种与采购人现有H</w:t>
      </w:r>
      <w:r>
        <w:rPr>
          <w:rFonts w:ascii="宋体" w:hAnsi="宋体" w:cs="方正仿宋_GBK"/>
          <w:szCs w:val="28"/>
        </w:rPr>
        <w:t>IS</w:t>
      </w:r>
      <w:r>
        <w:rPr>
          <w:rFonts w:hint="eastAsia" w:ascii="宋体" w:hAnsi="宋体" w:cs="方正仿宋_GBK"/>
          <w:szCs w:val="28"/>
        </w:rPr>
        <w:t>系统实现无缝连接，涉及到与采购人现有信息系统的全部接口费用，由中标人全额承担。</w:t>
      </w:r>
    </w:p>
    <w:p>
      <w:pPr>
        <w:spacing w:line="360" w:lineRule="auto"/>
      </w:pPr>
    </w:p>
    <w:p>
      <w:pPr>
        <w:pStyle w:val="4"/>
        <w:spacing w:before="120" w:after="0" w:line="360" w:lineRule="auto"/>
        <w:jc w:val="left"/>
        <w:rPr>
          <w:rFonts w:ascii="宋体" w:hAnsi="宋体"/>
          <w:sz w:val="28"/>
          <w:szCs w:val="28"/>
        </w:rPr>
      </w:pPr>
      <w:r>
        <w:rPr>
          <w:rFonts w:hint="eastAsia" w:ascii="宋体" w:hAnsi="宋体"/>
          <w:sz w:val="28"/>
          <w:szCs w:val="28"/>
        </w:rPr>
        <w:t>二、主要功能参数及要求</w:t>
      </w:r>
    </w:p>
    <w:tbl>
      <w:tblPr>
        <w:tblStyle w:val="58"/>
        <w:tblW w:w="4864" w:type="pct"/>
        <w:tblInd w:w="0" w:type="dxa"/>
        <w:tblLayout w:type="autofit"/>
        <w:tblCellMar>
          <w:top w:w="0" w:type="dxa"/>
          <w:left w:w="108" w:type="dxa"/>
          <w:bottom w:w="0" w:type="dxa"/>
          <w:right w:w="108" w:type="dxa"/>
        </w:tblCellMar>
      </w:tblPr>
      <w:tblGrid>
        <w:gridCol w:w="698"/>
        <w:gridCol w:w="1311"/>
        <w:gridCol w:w="1385"/>
        <w:gridCol w:w="5972"/>
      </w:tblGrid>
      <w:tr>
        <w:tblPrEx>
          <w:tblCellMar>
            <w:top w:w="0" w:type="dxa"/>
            <w:left w:w="108" w:type="dxa"/>
            <w:bottom w:w="0" w:type="dxa"/>
            <w:right w:w="108" w:type="dxa"/>
          </w:tblCellMar>
        </w:tblPrEx>
        <w:trPr>
          <w:trHeight w:val="500" w:hRule="atLeast"/>
        </w:trPr>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700"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模块</w:t>
            </w:r>
          </w:p>
        </w:tc>
        <w:tc>
          <w:tcPr>
            <w:tcW w:w="739"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产品功能</w:t>
            </w:r>
          </w:p>
        </w:tc>
        <w:tc>
          <w:tcPr>
            <w:tcW w:w="3187"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技术参数要求</w:t>
            </w:r>
          </w:p>
        </w:tc>
      </w:tr>
      <w:tr>
        <w:tblPrEx>
          <w:tblCellMar>
            <w:top w:w="0" w:type="dxa"/>
            <w:left w:w="108" w:type="dxa"/>
            <w:bottom w:w="0" w:type="dxa"/>
            <w:right w:w="108" w:type="dxa"/>
          </w:tblCellMar>
        </w:tblPrEx>
        <w:trPr>
          <w:trHeight w:val="50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w:t>
            </w:r>
          </w:p>
        </w:tc>
        <w:tc>
          <w:tcPr>
            <w:tcW w:w="70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角色权限管理</w:t>
            </w: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权限分配</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提供产品不同使用角色赋予不同的功能权限，实现精细化的管理</w:t>
            </w:r>
          </w:p>
        </w:tc>
      </w:tr>
      <w:tr>
        <w:tblPrEx>
          <w:tblCellMar>
            <w:top w:w="0" w:type="dxa"/>
            <w:left w:w="108" w:type="dxa"/>
            <w:bottom w:w="0" w:type="dxa"/>
            <w:right w:w="108" w:type="dxa"/>
          </w:tblCellMar>
        </w:tblPrEx>
        <w:trPr>
          <w:trHeight w:val="58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w:t>
            </w:r>
          </w:p>
        </w:tc>
        <w:tc>
          <w:tcPr>
            <w:tcW w:w="7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000000"/>
                <w:kern w:val="0"/>
                <w:sz w:val="22"/>
                <w:szCs w:val="22"/>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系统登录</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提供产品登录入口</w:t>
            </w:r>
          </w:p>
        </w:tc>
      </w:tr>
      <w:tr>
        <w:tblPrEx>
          <w:tblCellMar>
            <w:top w:w="0" w:type="dxa"/>
            <w:left w:w="108" w:type="dxa"/>
            <w:bottom w:w="0" w:type="dxa"/>
            <w:right w:w="108" w:type="dxa"/>
          </w:tblCellMar>
        </w:tblPrEx>
        <w:trPr>
          <w:trHeight w:val="633"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3</w:t>
            </w:r>
          </w:p>
        </w:tc>
        <w:tc>
          <w:tcPr>
            <w:tcW w:w="70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基础数据设置</w:t>
            </w: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单病种清单管理</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产品提供国家单病种平台上51个单病种清单，可实现快速综合管理，启用、停用、配置</w:t>
            </w:r>
          </w:p>
        </w:tc>
      </w:tr>
      <w:tr>
        <w:tblPrEx>
          <w:tblCellMar>
            <w:top w:w="0" w:type="dxa"/>
            <w:left w:w="108" w:type="dxa"/>
            <w:bottom w:w="0" w:type="dxa"/>
            <w:right w:w="108" w:type="dxa"/>
          </w:tblCellMar>
        </w:tblPrEx>
        <w:trPr>
          <w:trHeight w:val="459"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4</w:t>
            </w:r>
          </w:p>
        </w:tc>
        <w:tc>
          <w:tcPr>
            <w:tcW w:w="700" w:type="pct"/>
            <w:vMerge w:val="continue"/>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auto"/>
                <w:kern w:val="0"/>
                <w:sz w:val="24"/>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信息项目录管理</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支持对预设定好的信息项、信息项值域进行综合维护</w:t>
            </w:r>
          </w:p>
        </w:tc>
      </w:tr>
      <w:tr>
        <w:tblPrEx>
          <w:tblCellMar>
            <w:top w:w="0" w:type="dxa"/>
            <w:left w:w="108" w:type="dxa"/>
            <w:bottom w:w="0" w:type="dxa"/>
            <w:right w:w="108" w:type="dxa"/>
          </w:tblCellMar>
        </w:tblPrEx>
        <w:trPr>
          <w:trHeight w:val="82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5</w:t>
            </w:r>
          </w:p>
        </w:tc>
        <w:tc>
          <w:tcPr>
            <w:tcW w:w="700" w:type="pct"/>
            <w:vMerge w:val="continue"/>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auto"/>
                <w:kern w:val="0"/>
                <w:sz w:val="24"/>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数据源管理</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基于oracle大型关系性数据库提供的连接标准格式化。自定义数据源项目名称、ip地址、端口、实例等参数</w:t>
            </w:r>
          </w:p>
        </w:tc>
      </w:tr>
      <w:tr>
        <w:tblPrEx>
          <w:tblCellMar>
            <w:top w:w="0" w:type="dxa"/>
            <w:left w:w="108" w:type="dxa"/>
            <w:bottom w:w="0" w:type="dxa"/>
            <w:right w:w="108" w:type="dxa"/>
          </w:tblCellMar>
        </w:tblPrEx>
        <w:trPr>
          <w:trHeight w:val="66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6</w:t>
            </w:r>
          </w:p>
        </w:tc>
        <w:tc>
          <w:tcPr>
            <w:tcW w:w="700" w:type="pct"/>
            <w:vMerge w:val="continue"/>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auto"/>
                <w:kern w:val="0"/>
                <w:sz w:val="24"/>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数据集管理</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支持定义不同的数据原来主体、例如诊断、手术、检查、检验、治疗信息等来源数据</w:t>
            </w:r>
          </w:p>
        </w:tc>
      </w:tr>
      <w:tr>
        <w:tblPrEx>
          <w:tblCellMar>
            <w:top w:w="0" w:type="dxa"/>
            <w:left w:w="108" w:type="dxa"/>
            <w:bottom w:w="0" w:type="dxa"/>
            <w:right w:w="108" w:type="dxa"/>
          </w:tblCellMar>
        </w:tblPrEx>
        <w:trPr>
          <w:trHeight w:val="50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7</w:t>
            </w:r>
          </w:p>
        </w:tc>
        <w:tc>
          <w:tcPr>
            <w:tcW w:w="700" w:type="pct"/>
            <w:vMerge w:val="continue"/>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auto"/>
                <w:kern w:val="0"/>
                <w:sz w:val="24"/>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采集来源表管理</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支持采集数据具体来源定义到具体到不同的业务、基础数据表</w:t>
            </w:r>
          </w:p>
        </w:tc>
      </w:tr>
      <w:tr>
        <w:tblPrEx>
          <w:tblCellMar>
            <w:top w:w="0" w:type="dxa"/>
            <w:left w:w="108" w:type="dxa"/>
            <w:bottom w:w="0" w:type="dxa"/>
            <w:right w:w="108" w:type="dxa"/>
          </w:tblCellMar>
        </w:tblPrEx>
        <w:trPr>
          <w:trHeight w:val="48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8</w:t>
            </w:r>
          </w:p>
        </w:tc>
        <w:tc>
          <w:tcPr>
            <w:tcW w:w="700" w:type="pct"/>
            <w:vMerge w:val="continue"/>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auto"/>
                <w:kern w:val="0"/>
                <w:sz w:val="24"/>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信息项采集设置</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支持针对每条上报数据项目进行配置定义，实现数据采集功能</w:t>
            </w:r>
          </w:p>
        </w:tc>
      </w:tr>
      <w:tr>
        <w:tblPrEx>
          <w:tblCellMar>
            <w:top w:w="0" w:type="dxa"/>
            <w:left w:w="108" w:type="dxa"/>
            <w:bottom w:w="0" w:type="dxa"/>
            <w:right w:w="108" w:type="dxa"/>
          </w:tblCellMar>
        </w:tblPrEx>
        <w:trPr>
          <w:trHeight w:val="48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9</w:t>
            </w:r>
          </w:p>
        </w:tc>
        <w:tc>
          <w:tcPr>
            <w:tcW w:w="700" w:type="pct"/>
            <w:vMerge w:val="continue"/>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auto"/>
                <w:kern w:val="0"/>
                <w:sz w:val="24"/>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数据调试</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产品支持对采集配置对照的信息存在问题，可以通过调试功能跟踪分析</w:t>
            </w:r>
          </w:p>
        </w:tc>
      </w:tr>
      <w:tr>
        <w:tblPrEx>
          <w:tblCellMar>
            <w:top w:w="0" w:type="dxa"/>
            <w:left w:w="108" w:type="dxa"/>
            <w:bottom w:w="0" w:type="dxa"/>
            <w:right w:w="108" w:type="dxa"/>
          </w:tblCellMar>
        </w:tblPrEx>
        <w:trPr>
          <w:trHeight w:val="55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10</w:t>
            </w:r>
          </w:p>
        </w:tc>
        <w:tc>
          <w:tcPr>
            <w:tcW w:w="700" w:type="pct"/>
            <w:vMerge w:val="continue"/>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auto"/>
                <w:kern w:val="0"/>
                <w:sz w:val="24"/>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单病种构成配置</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产品支持每个单病种表单，可由哪些信息项目构成，实现灵活的填报配置信息。</w:t>
            </w:r>
          </w:p>
        </w:tc>
      </w:tr>
      <w:tr>
        <w:tblPrEx>
          <w:tblCellMar>
            <w:top w:w="0" w:type="dxa"/>
            <w:left w:w="108" w:type="dxa"/>
            <w:bottom w:w="0" w:type="dxa"/>
            <w:right w:w="108" w:type="dxa"/>
          </w:tblCellMar>
        </w:tblPrEx>
        <w:trPr>
          <w:trHeight w:val="54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11</w:t>
            </w:r>
          </w:p>
        </w:tc>
        <w:tc>
          <w:tcPr>
            <w:tcW w:w="70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数据上报与统计</w:t>
            </w: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临床数据填报</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产品支持自动、手工登记模式采集符合填报患者，临床科室核对采集信息后填报</w:t>
            </w:r>
          </w:p>
        </w:tc>
      </w:tr>
      <w:tr>
        <w:tblPrEx>
          <w:tblCellMar>
            <w:top w:w="0" w:type="dxa"/>
            <w:left w:w="108" w:type="dxa"/>
            <w:bottom w:w="0" w:type="dxa"/>
            <w:right w:w="108" w:type="dxa"/>
          </w:tblCellMar>
        </w:tblPrEx>
        <w:trPr>
          <w:trHeight w:val="51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12</w:t>
            </w:r>
          </w:p>
        </w:tc>
        <w:tc>
          <w:tcPr>
            <w:tcW w:w="7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000000"/>
                <w:kern w:val="0"/>
                <w:sz w:val="22"/>
                <w:szCs w:val="22"/>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数据审核</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支持对临床科室填报后提交数据再次查验与审核</w:t>
            </w:r>
          </w:p>
        </w:tc>
      </w:tr>
      <w:tr>
        <w:tblPrEx>
          <w:tblCellMar>
            <w:top w:w="0" w:type="dxa"/>
            <w:left w:w="108" w:type="dxa"/>
            <w:bottom w:w="0" w:type="dxa"/>
            <w:right w:w="108" w:type="dxa"/>
          </w:tblCellMar>
        </w:tblPrEx>
        <w:trPr>
          <w:trHeight w:val="49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13</w:t>
            </w:r>
          </w:p>
        </w:tc>
        <w:tc>
          <w:tcPr>
            <w:tcW w:w="7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000000"/>
                <w:kern w:val="0"/>
                <w:sz w:val="22"/>
                <w:szCs w:val="22"/>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数据上报</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支持对已审核的数据提交到前置机测试、然后上报到国家平台</w:t>
            </w:r>
          </w:p>
        </w:tc>
      </w:tr>
      <w:tr>
        <w:tblPrEx>
          <w:tblCellMar>
            <w:top w:w="0" w:type="dxa"/>
            <w:left w:w="108" w:type="dxa"/>
            <w:bottom w:w="0" w:type="dxa"/>
            <w:right w:w="108" w:type="dxa"/>
          </w:tblCellMar>
        </w:tblPrEx>
        <w:trPr>
          <w:trHeight w:val="500" w:hRule="atLeast"/>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14</w:t>
            </w:r>
          </w:p>
        </w:tc>
        <w:tc>
          <w:tcPr>
            <w:tcW w:w="7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000000"/>
                <w:kern w:val="0"/>
                <w:sz w:val="22"/>
                <w:szCs w:val="22"/>
              </w:rPr>
            </w:pPr>
          </w:p>
        </w:tc>
        <w:tc>
          <w:tcPr>
            <w:tcW w:w="739"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数据统计</w:t>
            </w:r>
          </w:p>
        </w:tc>
        <w:tc>
          <w:tcPr>
            <w:tcW w:w="3187" w:type="pct"/>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自定义时间段，统计数据的填报情况</w:t>
            </w:r>
          </w:p>
        </w:tc>
      </w:tr>
    </w:tbl>
    <w:p>
      <w:pPr>
        <w:spacing w:line="360" w:lineRule="auto"/>
      </w:pPr>
    </w:p>
    <w:p>
      <w:pPr>
        <w:pStyle w:val="28"/>
        <w:framePr w:wrap="around"/>
      </w:pPr>
    </w:p>
    <w:p>
      <w:pPr>
        <w:spacing w:line="360" w:lineRule="auto"/>
      </w:pPr>
    </w:p>
    <w:p>
      <w:pPr>
        <w:spacing w:line="360" w:lineRule="auto"/>
      </w:pPr>
      <w:r>
        <w:br w:type="page"/>
      </w:r>
    </w:p>
    <w:p>
      <w:pPr>
        <w:pStyle w:val="3"/>
        <w:jc w:val="center"/>
        <w:rPr>
          <w:b/>
          <w:sz w:val="32"/>
          <w:szCs w:val="22"/>
        </w:rPr>
      </w:pPr>
      <w:bookmarkStart w:id="31" w:name="_Toc29566"/>
      <w:r>
        <w:rPr>
          <w:rFonts w:hint="eastAsia"/>
          <w:b/>
          <w:sz w:val="32"/>
          <w:szCs w:val="22"/>
        </w:rPr>
        <w:t>第二部分 商务要求</w:t>
      </w:r>
      <w:bookmarkEnd w:id="31"/>
    </w:p>
    <w:p>
      <w:pPr>
        <w:pStyle w:val="4"/>
        <w:spacing w:before="120" w:after="0" w:line="360" w:lineRule="auto"/>
        <w:jc w:val="left"/>
        <w:rPr>
          <w:rFonts w:ascii="宋体" w:hAnsi="宋体"/>
          <w:sz w:val="24"/>
          <w:szCs w:val="24"/>
        </w:rPr>
      </w:pPr>
      <w:r>
        <w:rPr>
          <w:rFonts w:hint="eastAsia" w:ascii="宋体" w:hAnsi="宋体"/>
          <w:sz w:val="28"/>
          <w:szCs w:val="28"/>
        </w:rPr>
        <w:t>一、交付与响应</w:t>
      </w:r>
    </w:p>
    <w:p>
      <w:pPr>
        <w:snapToGrid w:val="0"/>
        <w:spacing w:line="276" w:lineRule="auto"/>
        <w:ind w:firstLine="480" w:firstLineChars="200"/>
        <w:jc w:val="left"/>
        <w:rPr>
          <w:rFonts w:ascii="宋体" w:hAnsi="宋体" w:cs="方正仿宋_GBK"/>
          <w:kern w:val="0"/>
          <w:sz w:val="24"/>
          <w:szCs w:val="28"/>
        </w:rPr>
      </w:pPr>
      <w:r>
        <w:rPr>
          <w:rFonts w:hint="eastAsia" w:ascii="宋体" w:hAnsi="宋体" w:cs="方正仿宋_GBK"/>
          <w:kern w:val="0"/>
          <w:sz w:val="24"/>
          <w:szCs w:val="28"/>
        </w:rPr>
        <w:t xml:space="preserve">1、交付期（工期）：成交供应商应在采购合同签订合同之日起 </w:t>
      </w:r>
      <w:r>
        <w:rPr>
          <w:rFonts w:ascii="宋体" w:hAnsi="宋体" w:cs="方正仿宋_GBK"/>
          <w:kern w:val="0"/>
          <w:sz w:val="24"/>
          <w:szCs w:val="28"/>
        </w:rPr>
        <w:t>10</w:t>
      </w:r>
      <w:r>
        <w:rPr>
          <w:rFonts w:hint="eastAsia" w:ascii="宋体" w:hAnsi="宋体" w:cs="方正仿宋_GBK"/>
          <w:kern w:val="0"/>
          <w:sz w:val="24"/>
          <w:szCs w:val="28"/>
        </w:rPr>
        <w:t>个日历日内交货并完成安装调试。</w:t>
      </w:r>
    </w:p>
    <w:p>
      <w:pPr>
        <w:snapToGrid w:val="0"/>
        <w:spacing w:line="276" w:lineRule="auto"/>
        <w:ind w:firstLine="480" w:firstLineChars="200"/>
        <w:jc w:val="left"/>
        <w:rPr>
          <w:rFonts w:ascii="宋体" w:hAnsi="宋体" w:cs="方正仿宋_GBK"/>
          <w:kern w:val="0"/>
          <w:sz w:val="24"/>
          <w:szCs w:val="28"/>
        </w:rPr>
      </w:pPr>
      <w:r>
        <w:rPr>
          <w:rFonts w:hint="eastAsia" w:ascii="宋体" w:hAnsi="宋体" w:cs="方正仿宋_GBK"/>
          <w:kern w:val="0"/>
          <w:sz w:val="24"/>
          <w:szCs w:val="28"/>
        </w:rPr>
        <w:t>2、交付地点：重庆市第九人民医院。</w:t>
      </w:r>
    </w:p>
    <w:p>
      <w:pPr>
        <w:snapToGrid w:val="0"/>
        <w:spacing w:line="276" w:lineRule="auto"/>
        <w:ind w:firstLine="480" w:firstLineChars="200"/>
        <w:jc w:val="left"/>
        <w:rPr>
          <w:rFonts w:ascii="宋体" w:hAnsi="宋体" w:cs="方正仿宋_GBK"/>
          <w:kern w:val="0"/>
          <w:sz w:val="24"/>
          <w:szCs w:val="28"/>
        </w:rPr>
      </w:pPr>
      <w:r>
        <w:rPr>
          <w:rFonts w:hint="eastAsia" w:ascii="宋体" w:hAnsi="宋体" w:cs="方正仿宋_GBK"/>
          <w:kern w:val="0"/>
          <w:sz w:val="24"/>
          <w:szCs w:val="28"/>
        </w:rPr>
        <w:t>3、售后服务要求</w:t>
      </w:r>
    </w:p>
    <w:p>
      <w:pPr>
        <w:snapToGrid w:val="0"/>
        <w:spacing w:line="276" w:lineRule="auto"/>
        <w:ind w:firstLine="480" w:firstLineChars="200"/>
        <w:jc w:val="left"/>
        <w:rPr>
          <w:rFonts w:ascii="宋体" w:hAnsi="宋体" w:cs="方正仿宋_GBK"/>
          <w:kern w:val="0"/>
          <w:sz w:val="24"/>
          <w:szCs w:val="28"/>
        </w:rPr>
      </w:pPr>
      <w:r>
        <w:rPr>
          <w:rFonts w:hint="eastAsia" w:ascii="宋体" w:hAnsi="宋体" w:cs="方正仿宋_GBK"/>
          <w:kern w:val="0"/>
          <w:sz w:val="24"/>
          <w:szCs w:val="28"/>
        </w:rPr>
        <w:t>3.1 产品质量保证期：免费升级维护期达到1年，从项目正式验收合格之日算起。</w:t>
      </w:r>
    </w:p>
    <w:p>
      <w:pPr>
        <w:snapToGrid w:val="0"/>
        <w:spacing w:line="276" w:lineRule="auto"/>
        <w:ind w:firstLine="480" w:firstLineChars="200"/>
        <w:jc w:val="left"/>
        <w:rPr>
          <w:rFonts w:ascii="宋体" w:hAnsi="宋体" w:cs="方正仿宋_GBK"/>
          <w:kern w:val="0"/>
          <w:sz w:val="24"/>
          <w:szCs w:val="28"/>
        </w:rPr>
      </w:pPr>
      <w:r>
        <w:rPr>
          <w:rFonts w:hint="eastAsia" w:ascii="宋体" w:hAnsi="宋体" w:cs="方正仿宋_GBK"/>
          <w:kern w:val="0"/>
          <w:sz w:val="24"/>
          <w:szCs w:val="28"/>
        </w:rPr>
        <w:t xml:space="preserve">3.2 免费升级维护期内的要求：提供免费软件升级；提供7*24小时远程技术支持（电话、邮件、远程服务）；应在2小时内采取相应措施，提供免费服务，确保在6小时内系统正常运行。 </w:t>
      </w:r>
    </w:p>
    <w:p>
      <w:pPr>
        <w:snapToGrid w:val="0"/>
        <w:spacing w:line="276" w:lineRule="auto"/>
        <w:ind w:firstLine="480" w:firstLineChars="200"/>
        <w:jc w:val="left"/>
        <w:rPr>
          <w:rFonts w:ascii="宋体" w:hAnsi="宋体" w:cs="方正仿宋_GBK"/>
          <w:kern w:val="0"/>
          <w:sz w:val="24"/>
          <w:szCs w:val="28"/>
        </w:rPr>
      </w:pPr>
      <w:r>
        <w:rPr>
          <w:rFonts w:hint="eastAsia" w:ascii="宋体" w:hAnsi="宋体" w:cs="方正仿宋_GBK"/>
          <w:kern w:val="0"/>
          <w:sz w:val="24"/>
          <w:szCs w:val="28"/>
        </w:rPr>
        <w:t>3.3 免费升级维护期外的要求：免费提供远程技术支持（电话、邮件、远程服务）；有偿、优惠提供软件功能升级、改造和提供现场服务；年度维护费用不超过中标价的6%</w:t>
      </w:r>
    </w:p>
    <w:p>
      <w:pPr>
        <w:pStyle w:val="4"/>
        <w:spacing w:before="120" w:after="0" w:line="360" w:lineRule="auto"/>
        <w:jc w:val="left"/>
        <w:rPr>
          <w:rFonts w:ascii="宋体" w:hAnsi="宋体"/>
          <w:sz w:val="28"/>
          <w:szCs w:val="28"/>
        </w:rPr>
      </w:pPr>
      <w:r>
        <w:rPr>
          <w:rFonts w:hint="eastAsia" w:ascii="宋体" w:hAnsi="宋体"/>
          <w:sz w:val="28"/>
          <w:szCs w:val="28"/>
        </w:rPr>
        <w:t>二、验收要求</w:t>
      </w:r>
    </w:p>
    <w:p>
      <w:pPr>
        <w:spacing w:line="360" w:lineRule="auto"/>
      </w:pPr>
      <w:r>
        <w:rPr>
          <w:rFonts w:hint="eastAsia"/>
        </w:rPr>
        <w:t xml:space="preserve"> </w:t>
      </w:r>
      <w:r>
        <w:rPr>
          <w:rFonts w:hint="eastAsia" w:ascii="宋体" w:hAnsi="宋体"/>
          <w:sz w:val="24"/>
          <w:szCs w:val="24"/>
        </w:rPr>
        <w:t xml:space="preserve">   由采购人组织验收。</w:t>
      </w:r>
    </w:p>
    <w:p>
      <w:pPr>
        <w:pStyle w:val="4"/>
        <w:spacing w:before="120" w:after="0" w:line="360" w:lineRule="auto"/>
        <w:jc w:val="left"/>
        <w:rPr>
          <w:rFonts w:ascii="宋体" w:hAnsi="宋体"/>
          <w:sz w:val="28"/>
          <w:szCs w:val="28"/>
        </w:rPr>
      </w:pPr>
      <w:r>
        <w:rPr>
          <w:rFonts w:hint="eastAsia" w:ascii="宋体" w:hAnsi="宋体"/>
          <w:sz w:val="28"/>
          <w:szCs w:val="28"/>
        </w:rPr>
        <w:t>三、报价要求</w:t>
      </w:r>
    </w:p>
    <w:p>
      <w:pPr>
        <w:snapToGrid w:val="0"/>
        <w:spacing w:line="276" w:lineRule="auto"/>
        <w:ind w:firstLine="480" w:firstLineChars="200"/>
        <w:jc w:val="left"/>
        <w:rPr>
          <w:rFonts w:ascii="宋体" w:hAnsi="宋体" w:cs="方正仿宋_GBK"/>
          <w:kern w:val="0"/>
          <w:sz w:val="24"/>
          <w:szCs w:val="28"/>
        </w:rPr>
      </w:pPr>
      <w:bookmarkStart w:id="32" w:name="_Toc441065665"/>
      <w:r>
        <w:rPr>
          <w:rFonts w:hint="eastAsia" w:ascii="宋体" w:hAnsi="宋体" w:cs="方正仿宋_GBK"/>
          <w:kern w:val="0"/>
          <w:sz w:val="24"/>
          <w:szCs w:val="28"/>
        </w:rPr>
        <w:t>本项目为交钥匙工程，投标报价采用人民币包干报价，包含：服务费、人工费、设备材料费、施工安装费、税费、培训费、全部接口费①、质保期内升级维护费等达到验收合格标准、交付使用的所有费用。</w:t>
      </w:r>
    </w:p>
    <w:p>
      <w:pPr>
        <w:snapToGrid w:val="0"/>
        <w:spacing w:line="276" w:lineRule="auto"/>
        <w:ind w:firstLine="480" w:firstLineChars="200"/>
        <w:jc w:val="left"/>
        <w:rPr>
          <w:rFonts w:ascii="宋体" w:hAnsi="宋体" w:cs="宋体"/>
          <w:kern w:val="0"/>
          <w:sz w:val="24"/>
          <w:szCs w:val="24"/>
        </w:rPr>
      </w:pPr>
      <w:r>
        <w:rPr>
          <w:rFonts w:hint="eastAsia" w:ascii="宋体" w:hAnsi="宋体" w:cs="方正仿宋_GBK"/>
          <w:kern w:val="0"/>
          <w:sz w:val="24"/>
          <w:szCs w:val="28"/>
        </w:rPr>
        <w:t>①全部接口费：新购系统必须与采购人现有的HIS、LIS、PACS、EMR、医疗质量控制系统数据实时通讯，所有这些软件的生产商要求的软件接口费。</w:t>
      </w:r>
    </w:p>
    <w:p>
      <w:pPr>
        <w:pStyle w:val="4"/>
        <w:spacing w:before="120" w:after="0" w:line="360" w:lineRule="auto"/>
        <w:jc w:val="left"/>
        <w:rPr>
          <w:rFonts w:ascii="宋体" w:hAnsi="宋体"/>
          <w:sz w:val="28"/>
          <w:szCs w:val="28"/>
        </w:rPr>
      </w:pPr>
      <w:r>
        <w:rPr>
          <w:rFonts w:hint="eastAsia" w:ascii="宋体" w:hAnsi="宋体"/>
          <w:sz w:val="28"/>
          <w:szCs w:val="28"/>
        </w:rPr>
        <w:t>四、付款方式</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签订合同前，中标人向采购人合同中约定账户转账支付</w:t>
      </w:r>
      <w:r>
        <w:rPr>
          <w:rFonts w:ascii="宋体" w:hAnsi="宋体"/>
          <w:b/>
          <w:sz w:val="24"/>
          <w:szCs w:val="24"/>
        </w:rPr>
        <w:t>中标金额的</w:t>
      </w:r>
      <w:r>
        <w:rPr>
          <w:rFonts w:hint="eastAsia" w:ascii="宋体" w:hAnsi="宋体"/>
          <w:b/>
          <w:sz w:val="24"/>
          <w:szCs w:val="24"/>
        </w:rPr>
        <w:t>5</w:t>
      </w:r>
      <w:r>
        <w:rPr>
          <w:rFonts w:ascii="宋体" w:hAnsi="宋体"/>
          <w:b/>
          <w:sz w:val="24"/>
          <w:szCs w:val="24"/>
        </w:rPr>
        <w:t>%作为履约保证金</w:t>
      </w:r>
      <w:r>
        <w:rPr>
          <w:rFonts w:hint="eastAsia" w:ascii="宋体" w:hAnsi="宋体"/>
          <w:sz w:val="24"/>
          <w:szCs w:val="24"/>
        </w:rPr>
        <w:t>，履约完毕且无待处理问题后</w:t>
      </w:r>
      <w:r>
        <w:rPr>
          <w:rFonts w:hint="eastAsia" w:ascii="宋体" w:hAnsi="宋体"/>
          <w:sz w:val="24"/>
          <w:szCs w:val="24"/>
          <w:lang w:val="en-US" w:eastAsia="zh-CN"/>
        </w:rPr>
        <w:t>30</w:t>
      </w:r>
      <w:r>
        <w:rPr>
          <w:rFonts w:hint="eastAsia" w:ascii="宋体" w:hAnsi="宋体"/>
          <w:sz w:val="24"/>
          <w:szCs w:val="24"/>
        </w:rPr>
        <w:t>日内甲方一次性无息退还。</w:t>
      </w:r>
    </w:p>
    <w:p>
      <w:pPr>
        <w:spacing w:line="360" w:lineRule="auto"/>
        <w:ind w:firstLine="480" w:firstLineChars="200"/>
      </w:pPr>
      <w:r>
        <w:rPr>
          <w:rFonts w:hint="eastAsia" w:ascii="宋体" w:hAnsi="宋体"/>
          <w:sz w:val="24"/>
          <w:szCs w:val="24"/>
        </w:rPr>
        <w:t>2、项目验收后</w:t>
      </w:r>
      <w:r>
        <w:rPr>
          <w:rFonts w:hint="eastAsia" w:ascii="宋体" w:hAnsi="宋体"/>
          <w:sz w:val="24"/>
          <w:szCs w:val="24"/>
          <w:lang w:val="en-US" w:eastAsia="zh-CN"/>
        </w:rPr>
        <w:t>30</w:t>
      </w:r>
      <w:r>
        <w:rPr>
          <w:rFonts w:hint="eastAsia" w:ascii="宋体" w:hAnsi="宋体"/>
          <w:sz w:val="24"/>
          <w:szCs w:val="24"/>
        </w:rPr>
        <w:t>日内支付合同全款。</w:t>
      </w:r>
    </w:p>
    <w:p>
      <w:pPr>
        <w:pStyle w:val="4"/>
        <w:spacing w:before="120" w:after="0" w:line="360" w:lineRule="auto"/>
        <w:jc w:val="left"/>
        <w:rPr>
          <w:rFonts w:ascii="宋体" w:hAnsi="宋体"/>
          <w:sz w:val="28"/>
          <w:szCs w:val="28"/>
        </w:rPr>
      </w:pPr>
      <w:r>
        <w:rPr>
          <w:rFonts w:hint="eastAsia" w:ascii="宋体" w:hAnsi="宋体"/>
          <w:sz w:val="28"/>
          <w:szCs w:val="28"/>
        </w:rPr>
        <w:t>五、知识产权</w:t>
      </w:r>
    </w:p>
    <w:p>
      <w:pPr>
        <w:spacing w:line="360" w:lineRule="auto"/>
        <w:ind w:firstLine="480" w:firstLineChars="200"/>
        <w:rPr>
          <w:rFonts w:ascii="宋体" w:hAnsi="宋体"/>
          <w:sz w:val="24"/>
          <w:szCs w:val="24"/>
        </w:rPr>
      </w:pPr>
      <w:r>
        <w:rPr>
          <w:rFonts w:hint="eastAsia" w:ascii="宋体" w:hAnsi="宋体"/>
          <w:sz w:val="24"/>
          <w:szCs w:val="24"/>
        </w:rPr>
        <w:t>采购人在中华人民共和国境内使用成交供应商提供服务时免受第三方提出的侵犯其专利权或其它知识产权的起诉。如果第三方提出侵权指控，成交供应商应承担由此而引起的一切法律责任和费用。</w:t>
      </w:r>
    </w:p>
    <w:p>
      <w:pPr>
        <w:pStyle w:val="4"/>
        <w:spacing w:before="120" w:after="0" w:line="360" w:lineRule="auto"/>
        <w:jc w:val="left"/>
        <w:rPr>
          <w:rFonts w:ascii="宋体" w:hAnsi="宋体"/>
          <w:sz w:val="28"/>
          <w:szCs w:val="28"/>
        </w:rPr>
      </w:pPr>
      <w:r>
        <w:rPr>
          <w:rFonts w:hint="eastAsia" w:ascii="宋体" w:hAnsi="宋体"/>
          <w:sz w:val="28"/>
          <w:szCs w:val="28"/>
        </w:rPr>
        <w:t>六、培训</w:t>
      </w:r>
    </w:p>
    <w:p>
      <w:pPr>
        <w:spacing w:line="360" w:lineRule="auto"/>
        <w:ind w:firstLine="480" w:firstLineChars="200"/>
        <w:rPr>
          <w:rFonts w:ascii="宋体" w:hAnsi="宋体"/>
          <w:sz w:val="24"/>
          <w:szCs w:val="24"/>
        </w:rPr>
      </w:pPr>
      <w:r>
        <w:rPr>
          <w:rFonts w:hint="eastAsia" w:ascii="宋体" w:hAnsi="宋体"/>
          <w:sz w:val="24"/>
          <w:szCs w:val="24"/>
        </w:rPr>
        <w:t>根据采购人情况，及时对新人、新项目、新技术或特殊情况进行分阶段培训，充分满足使用需要。提供多种服务方式提高培训质量。</w:t>
      </w:r>
    </w:p>
    <w:p>
      <w:pPr>
        <w:pStyle w:val="4"/>
        <w:spacing w:before="120" w:after="0" w:line="360" w:lineRule="auto"/>
        <w:jc w:val="left"/>
        <w:rPr>
          <w:rFonts w:ascii="宋体" w:hAnsi="宋体"/>
          <w:sz w:val="28"/>
          <w:szCs w:val="28"/>
        </w:rPr>
      </w:pPr>
      <w:r>
        <w:rPr>
          <w:rFonts w:hint="eastAsia" w:ascii="宋体" w:hAnsi="宋体"/>
          <w:sz w:val="28"/>
          <w:szCs w:val="28"/>
        </w:rPr>
        <w:t>七、其他</w:t>
      </w:r>
    </w:p>
    <w:p>
      <w:pPr>
        <w:spacing w:line="360" w:lineRule="auto"/>
        <w:ind w:firstLine="480" w:firstLineChars="200"/>
        <w:rPr>
          <w:rFonts w:ascii="宋体" w:hAnsi="宋体"/>
          <w:sz w:val="24"/>
          <w:szCs w:val="24"/>
        </w:rPr>
      </w:pPr>
      <w:r>
        <w:rPr>
          <w:rFonts w:hint="eastAsia" w:ascii="宋体" w:hAnsi="宋体"/>
          <w:sz w:val="24"/>
          <w:szCs w:val="24"/>
        </w:rPr>
        <w:t>1.供应商必须在响应文件中对以上条款和服务承诺明确列出，承诺内容必须达到本篇及磋商文件其他条款的要求。</w:t>
      </w:r>
    </w:p>
    <w:p>
      <w:pPr>
        <w:spacing w:line="360" w:lineRule="auto"/>
        <w:ind w:firstLine="480" w:firstLineChars="200"/>
        <w:rPr>
          <w:rFonts w:ascii="宋体" w:hAnsi="宋体"/>
          <w:szCs w:val="28"/>
        </w:rPr>
      </w:pPr>
      <w:r>
        <w:rPr>
          <w:rFonts w:hint="eastAsia" w:ascii="宋体" w:hAnsi="宋体"/>
          <w:sz w:val="24"/>
          <w:szCs w:val="24"/>
        </w:rPr>
        <w:t>2.其他未尽事宜由供需双方在采购合同中详细约定。</w:t>
      </w:r>
    </w:p>
    <w:p>
      <w:pPr>
        <w:spacing w:line="360" w:lineRule="auto"/>
        <w:ind w:firstLine="480" w:firstLineChars="200"/>
        <w:rPr>
          <w:rFonts w:ascii="宋体" w:hAnsi="宋体"/>
          <w:sz w:val="24"/>
          <w:szCs w:val="28"/>
        </w:rPr>
      </w:pPr>
      <w:r>
        <w:rPr>
          <w:rFonts w:hint="eastAsia" w:ascii="宋体" w:hAnsi="宋体"/>
          <w:sz w:val="24"/>
          <w:szCs w:val="28"/>
        </w:rPr>
        <w:t xml:space="preserve"> </w:t>
      </w:r>
      <w:bookmarkEnd w:id="32"/>
    </w:p>
    <w:p>
      <w:pPr>
        <w:spacing w:line="360" w:lineRule="auto"/>
        <w:rPr>
          <w:rFonts w:ascii="宋体" w:hAnsi="宋体" w:cs="宋体"/>
          <w:kern w:val="0"/>
        </w:rPr>
      </w:pPr>
      <w:r>
        <w:rPr>
          <w:rFonts w:ascii="宋体" w:hAnsi="宋体"/>
        </w:rPr>
        <w:br w:type="page"/>
      </w:r>
    </w:p>
    <w:p>
      <w:pPr>
        <w:pStyle w:val="2"/>
        <w:spacing w:before="0" w:beforeLines="0" w:after="0" w:afterLines="0" w:line="360" w:lineRule="auto"/>
        <w:jc w:val="both"/>
        <w:rPr>
          <w:rFonts w:ascii="宋体" w:hAnsi="宋体" w:eastAsia="宋体"/>
        </w:rPr>
      </w:pPr>
      <w:bookmarkStart w:id="33" w:name="_Toc11630"/>
      <w:r>
        <w:rPr>
          <w:rFonts w:hint="eastAsia" w:ascii="宋体" w:hAnsi="宋体" w:eastAsia="宋体"/>
        </w:rPr>
        <w:t>第三篇  评审程序、评审方法和评审标准</w:t>
      </w:r>
      <w:bookmarkEnd w:id="33"/>
    </w:p>
    <w:p>
      <w:pPr>
        <w:pStyle w:val="3"/>
        <w:rPr>
          <w:b/>
          <w:sz w:val="24"/>
          <w:szCs w:val="24"/>
        </w:rPr>
      </w:pPr>
      <w:bookmarkStart w:id="34" w:name="_Toc441065674"/>
      <w:bookmarkStart w:id="35" w:name="_Toc25223"/>
      <w:r>
        <w:rPr>
          <w:rFonts w:hint="eastAsia"/>
          <w:b/>
          <w:sz w:val="24"/>
          <w:szCs w:val="24"/>
        </w:rPr>
        <w:t>一、</w:t>
      </w:r>
      <w:bookmarkEnd w:id="34"/>
      <w:r>
        <w:rPr>
          <w:rFonts w:hint="eastAsia"/>
          <w:b/>
          <w:sz w:val="24"/>
          <w:szCs w:val="24"/>
        </w:rPr>
        <w:t>评审程序</w:t>
      </w:r>
      <w:bookmarkEnd w:id="35"/>
    </w:p>
    <w:p>
      <w:pPr>
        <w:spacing w:line="360" w:lineRule="auto"/>
        <w:rPr>
          <w:rFonts w:ascii="宋体" w:hAnsi="宋体" w:cs="宋体"/>
          <w:kern w:val="0"/>
          <w:sz w:val="24"/>
          <w:szCs w:val="24"/>
        </w:rPr>
      </w:pPr>
      <w:r>
        <w:rPr>
          <w:rFonts w:hint="eastAsia" w:ascii="宋体" w:hAnsi="宋体"/>
        </w:rPr>
        <w:t xml:space="preserve">    </w:t>
      </w:r>
      <w:r>
        <w:rPr>
          <w:rFonts w:hint="eastAsia" w:ascii="宋体" w:hAnsi="宋体" w:cs="宋体"/>
          <w:kern w:val="0"/>
          <w:sz w:val="24"/>
          <w:szCs w:val="24"/>
        </w:rPr>
        <w:t>评审工作由采购人主持，具体评审工作由采购人依法组建的竞争性磋商小组负责。磋商小组到位后，推举其中一位评审专家担任评审组长，并由评审组长牵头组织该项目评审工作。磋商小组按以下程序独立履行评审职责：</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1、资格性检查。依据法律法规和磋商文件的规定，对响应文件中的供应商营业执照、组织机构代码证、税务登记证（见注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）、诚信声明、特定资格条件证明文件、供应商法定代表人身份证明书和授权代表委托书身份证明等进行审查，以确定供应商是否具备竞争性磋商资格。</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以联合体参与磋商的，共同参与协议中应确定主办方（主体），</w:t>
      </w:r>
      <w:r>
        <w:rPr>
          <w:rFonts w:hint="eastAsia" w:ascii="宋体" w:hAnsi="宋体"/>
          <w:sz w:val="24"/>
        </w:rPr>
        <w:t>代表联合体进行磋商和澄清。</w:t>
      </w:r>
      <w:r>
        <w:rPr>
          <w:rFonts w:hint="eastAsia" w:ascii="宋体" w:hAnsi="宋体" w:cs="宋体"/>
          <w:kern w:val="0"/>
          <w:sz w:val="24"/>
          <w:szCs w:val="24"/>
        </w:rPr>
        <w:t>联合体各方均应满足供应商资格要求（详见“第一篇”）。</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供应商按“多证合一”登记制度办理营业执照的，组织机构代码证、税务登记证（副本）和社会保险登记证以投标人所提供的营业执照（副本）复印件为准。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auto"/>
        <w:rPr>
          <w:rFonts w:ascii="宋体" w:hAnsi="宋体"/>
          <w:sz w:val="24"/>
          <w:szCs w:val="24"/>
        </w:rPr>
      </w:pPr>
      <w:r>
        <w:rPr>
          <w:rFonts w:hint="eastAsia" w:ascii="宋体" w:hAnsi="宋体" w:cs="宋体"/>
          <w:kern w:val="0"/>
          <w:sz w:val="24"/>
          <w:szCs w:val="24"/>
        </w:rPr>
        <w:t xml:space="preserve">    3、符合性检查。依据磋商文件的规定，从响应文件的有效性、完整性和对磋商文件的响应程度进行审查，以确定是否对磋商文件的实质性要求作出响应。</w:t>
      </w:r>
    </w:p>
    <w:p>
      <w:pPr>
        <w:snapToGrid w:val="0"/>
        <w:spacing w:line="360" w:lineRule="auto"/>
        <w:ind w:firstLine="480" w:firstLineChars="200"/>
        <w:rPr>
          <w:rFonts w:ascii="宋体" w:hAnsi="宋体"/>
          <w:sz w:val="24"/>
          <w:szCs w:val="24"/>
        </w:rPr>
      </w:pPr>
      <w:r>
        <w:rPr>
          <w:rFonts w:hint="eastAsia" w:ascii="宋体" w:hAnsi="宋体" w:cs="方正仿宋_GBK"/>
          <w:sz w:val="24"/>
          <w:szCs w:val="24"/>
        </w:rPr>
        <w:t>4、对响应文件的有效性、完整性和响应程度进行审查结束后。竞争性磋商小组所有成员按签到顺序集中与单一供应商分别进行磋商。</w:t>
      </w:r>
    </w:p>
    <w:p>
      <w:pPr>
        <w:snapToGrid w:val="0"/>
        <w:spacing w:line="360" w:lineRule="auto"/>
        <w:rPr>
          <w:rFonts w:ascii="宋体" w:hAnsi="宋体"/>
          <w:sz w:val="24"/>
          <w:szCs w:val="24"/>
        </w:rPr>
      </w:pPr>
      <w:r>
        <w:rPr>
          <w:rFonts w:hint="eastAsia" w:ascii="宋体" w:hAnsi="宋体"/>
          <w:sz w:val="24"/>
          <w:szCs w:val="24"/>
        </w:rPr>
        <w:t xml:space="preserve">    5、澄清有关问题。对响应文件中含义不明确、同类问题表述不一致或者有明显文字和计算错误的内容，磋商小组可以书面形式（应当由磋商小组成员签字）要求供应商作出必要澄清、说明或者纠正。供应商的澄清、说明或者补正应当采用书面形式，由其法定代表人授权代表签字，其澄清的内容不得超出响应文件的范围或者改变响应文件的实质性内容。</w:t>
      </w:r>
    </w:p>
    <w:p>
      <w:pPr>
        <w:spacing w:line="360" w:lineRule="auto"/>
        <w:rPr>
          <w:rFonts w:ascii="宋体" w:hAnsi="宋体" w:cs="方正仿宋_GBK"/>
          <w:sz w:val="24"/>
          <w:szCs w:val="24"/>
        </w:rPr>
      </w:pPr>
      <w:r>
        <w:rPr>
          <w:rFonts w:hint="eastAsia" w:ascii="宋体" w:hAnsi="宋体" w:cs="方正仿宋_GBK"/>
          <w:sz w:val="24"/>
          <w:szCs w:val="24"/>
        </w:rPr>
        <w:t xml:space="preserve">   6、在磋商过程中，竞争性磋商小组可以根据磋商文件和磋商情况实质性变动采购需求中的技术、服务要求以及合同草案条款，但不得变动磋商文件中的其他内容。实质性变动的内容，须经采购人代表确认。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方正仿宋_GBK"/>
          <w:b/>
          <w:bCs/>
          <w:sz w:val="24"/>
          <w:szCs w:val="24"/>
        </w:rPr>
      </w:pPr>
      <w:r>
        <w:rPr>
          <w:rFonts w:hint="eastAsia" w:ascii="宋体" w:hAnsi="宋体" w:cs="方正仿宋_GBK"/>
          <w:sz w:val="24"/>
          <w:szCs w:val="24"/>
        </w:rPr>
        <w:t>实质性变动的内容作为磋商文件的有效组成部分，磋商小组应当及时以书面形式同时通知所有参加谈判磋商的供应商。</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7、供应商应当按照磋商文件的变动情况和磋商小组的要求作出相应的承诺，并由其法定代表人或授权代表签字或者加盖公章。若供应商需重新制定设计方案或解决方案，重新提交响应文件的，磋商小组应确定重新提交响应文件的时间和提交方式，并以书面的形式通知。</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8、最后报价</w:t>
      </w:r>
    </w:p>
    <w:p>
      <w:pPr>
        <w:spacing w:line="360" w:lineRule="auto"/>
        <w:ind w:firstLine="482" w:firstLineChars="200"/>
        <w:rPr>
          <w:rFonts w:ascii="宋体" w:hAnsi="宋体" w:cs="方正仿宋_GBK"/>
          <w:b/>
          <w:bCs/>
          <w:sz w:val="24"/>
          <w:szCs w:val="24"/>
          <w:u w:val="single"/>
        </w:rPr>
      </w:pPr>
      <w:r>
        <w:rPr>
          <w:rFonts w:hint="eastAsia" w:ascii="宋体" w:hAnsi="宋体" w:cs="方正仿宋_GBK"/>
          <w:b/>
          <w:bCs/>
          <w:sz w:val="24"/>
          <w:szCs w:val="24"/>
          <w:u w:val="single"/>
        </w:rPr>
        <w:t>能够详细列明采购标的的技术、服务要求的：</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磋商结束后，磋商小组应当要求所有实质性响应的供应商在规定时间内提交最后报价，最后报价是供应商响应文件的有效组成部分。填写最后报价由其法定代表人或授权代表签字或者加盖公章。最后报价是供应商响应文件有效组成部分。</w:t>
      </w:r>
    </w:p>
    <w:p>
      <w:pPr>
        <w:spacing w:line="360" w:lineRule="auto"/>
        <w:ind w:firstLine="482" w:firstLineChars="200"/>
        <w:rPr>
          <w:rFonts w:ascii="宋体" w:hAnsi="宋体" w:cs="方正仿宋_GBK"/>
          <w:b/>
          <w:bCs/>
          <w:sz w:val="24"/>
          <w:szCs w:val="24"/>
          <w:u w:val="single"/>
        </w:rPr>
      </w:pPr>
      <w:r>
        <w:rPr>
          <w:rFonts w:hint="eastAsia" w:ascii="宋体" w:hAnsi="宋体" w:cs="方正仿宋_GBK"/>
          <w:b/>
          <w:bCs/>
          <w:sz w:val="24"/>
          <w:szCs w:val="24"/>
          <w:u w:val="single"/>
        </w:rPr>
        <w:t>不能够详细列明采购标的的技术、服务要求的，需经磋商由供应商提供最终设计方案或解决方案的：</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磋商小组应当按照少数服从多数的原则投票推荐3家以上供应商的设计方案和解决方案，并要求其在规定时间内提交最后报价。填写最后报价由其法定代表人或授权代表签字或者加盖公章。最后报价是供应商响应文件有效组成部分。</w:t>
      </w:r>
    </w:p>
    <w:p>
      <w:pPr>
        <w:spacing w:line="360" w:lineRule="auto"/>
        <w:ind w:firstLine="480" w:firstLineChars="200"/>
        <w:rPr>
          <w:rFonts w:ascii="宋体" w:hAnsi="宋体"/>
          <w:sz w:val="24"/>
          <w:szCs w:val="24"/>
        </w:rPr>
      </w:pPr>
      <w:r>
        <w:rPr>
          <w:rFonts w:hint="eastAsia" w:ascii="宋体" w:hAnsi="宋体" w:cs="方正仿宋_GBK"/>
          <w:sz w:val="24"/>
          <w:szCs w:val="24"/>
        </w:rPr>
        <w:t>9、经磋商确定最终采购需求和提交最后报价的供应商后，由磋商小组采用综合评分法对提交最后报价的供应商的响应文件和最后报价进行综合评分。</w:t>
      </w:r>
    </w:p>
    <w:p>
      <w:pPr>
        <w:pStyle w:val="3"/>
        <w:ind w:firstLine="482" w:firstLineChars="200"/>
        <w:rPr>
          <w:b/>
          <w:sz w:val="24"/>
          <w:szCs w:val="24"/>
        </w:rPr>
      </w:pPr>
      <w:bookmarkStart w:id="36" w:name="_Toc30385"/>
      <w:r>
        <w:rPr>
          <w:rFonts w:hint="eastAsia"/>
          <w:b/>
          <w:sz w:val="24"/>
          <w:szCs w:val="24"/>
        </w:rPr>
        <w:t>二、评审方法</w:t>
      </w:r>
      <w:bookmarkEnd w:id="36"/>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本项目采用综合评分法进行评分。综合评分法，是指响应文件满足磋商文件全部实质性要求且按照评审因素的量化指标评审得分最高的为成交候选供应商的评审方法。供应商总得分为价格、商务、技术等评定因素分别按照相应权重值计算分项得分后相加，满分为100分。</w:t>
      </w:r>
    </w:p>
    <w:p>
      <w:pPr>
        <w:snapToGrid w:val="0"/>
        <w:spacing w:line="360" w:lineRule="auto"/>
        <w:ind w:firstLine="480" w:firstLineChars="200"/>
        <w:rPr>
          <w:rFonts w:ascii="宋体" w:hAnsi="宋体"/>
          <w:sz w:val="24"/>
          <w:szCs w:val="24"/>
        </w:rPr>
      </w:pPr>
      <w:r>
        <w:rPr>
          <w:rFonts w:hint="eastAsia" w:ascii="宋体" w:hAnsi="宋体"/>
          <w:sz w:val="24"/>
          <w:szCs w:val="24"/>
        </w:rPr>
        <w:t>2、磋商小组各成员独立对每个有效供应商的响应文件进行评价、打分，然后由组长组织磋商小组对各成员打分情况进行核查及复核，个别成员对同一供应商同一评分项的打分偏离较大的，应对供应商的响应文件进行再次核对，确属打分有误的，应及时进行修正。</w:t>
      </w:r>
    </w:p>
    <w:p>
      <w:pPr>
        <w:snapToGrid w:val="0"/>
        <w:spacing w:line="360" w:lineRule="auto"/>
        <w:ind w:firstLine="480" w:firstLineChars="200"/>
        <w:rPr>
          <w:rFonts w:ascii="宋体" w:hAnsi="宋体"/>
          <w:sz w:val="24"/>
          <w:szCs w:val="24"/>
        </w:rPr>
      </w:pPr>
      <w:r>
        <w:rPr>
          <w:rFonts w:hint="eastAsia" w:ascii="宋体" w:hAnsi="宋体"/>
          <w:sz w:val="24"/>
          <w:szCs w:val="24"/>
        </w:rPr>
        <w:t>复核后，磋商小组汇总每个供应商每项评分因素的得分。</w:t>
      </w:r>
    </w:p>
    <w:p>
      <w:pPr>
        <w:snapToGrid w:val="0"/>
        <w:spacing w:line="360" w:lineRule="auto"/>
        <w:ind w:firstLine="480" w:firstLineChars="200"/>
        <w:rPr>
          <w:rFonts w:ascii="宋体" w:hAnsi="宋体"/>
          <w:b/>
          <w:sz w:val="24"/>
          <w:szCs w:val="24"/>
        </w:rPr>
      </w:pPr>
      <w:r>
        <w:rPr>
          <w:rFonts w:hint="eastAsia" w:ascii="宋体" w:hAnsi="宋体"/>
          <w:sz w:val="24"/>
          <w:szCs w:val="24"/>
        </w:rPr>
        <w:t>3、推荐成交候选供应商名单。按评审后得分由高到低的排列顺序</w:t>
      </w:r>
      <w:r>
        <w:rPr>
          <w:rFonts w:hint="eastAsia" w:ascii="宋体" w:hAnsi="宋体" w:cs="宋体"/>
          <w:kern w:val="0"/>
          <w:sz w:val="24"/>
          <w:szCs w:val="24"/>
        </w:rPr>
        <w:t>推荐综合得分排名前三的供应商为本分包（项目）成交候选供应商，</w:t>
      </w:r>
      <w:r>
        <w:rPr>
          <w:rFonts w:hint="eastAsia" w:ascii="宋体" w:hAnsi="宋体"/>
          <w:sz w:val="24"/>
          <w:szCs w:val="24"/>
        </w:rPr>
        <w:t>排名第一的为第一成交候选供应商。若综合得分相同的，按最后报价由低到高顺序排列；若综合得分且最后报价相同的，按技术指标优劣顺序排列；若综合得分、最后报价、技术指标均相同的，按商务部分的优劣顺序排列。技术部分得分为0分的供应商，将失去成为成交候选供应商的资格。</w:t>
      </w:r>
      <w:r>
        <w:rPr>
          <w:rFonts w:hint="eastAsia" w:ascii="宋体" w:hAnsi="宋体"/>
          <w:sz w:val="24"/>
          <w:szCs w:val="24"/>
        </w:rPr>
        <w:br w:type="page"/>
      </w:r>
      <w:bookmarkStart w:id="37" w:name="_Toc267320057"/>
      <w:bookmarkStart w:id="38" w:name="_Toc441065675"/>
      <w:r>
        <w:rPr>
          <w:rFonts w:hint="eastAsia" w:ascii="宋体" w:hAnsi="宋体"/>
          <w:b/>
          <w:sz w:val="24"/>
          <w:szCs w:val="24"/>
        </w:rPr>
        <w:t>三、评审标准</w:t>
      </w:r>
      <w:bookmarkEnd w:id="37"/>
      <w:bookmarkEnd w:id="38"/>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05"/>
        <w:gridCol w:w="1382"/>
        <w:gridCol w:w="536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序号</w:t>
            </w:r>
          </w:p>
        </w:tc>
        <w:tc>
          <w:tcPr>
            <w:tcW w:w="1005" w:type="dxa"/>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评分项及权重</w:t>
            </w:r>
          </w:p>
        </w:tc>
        <w:tc>
          <w:tcPr>
            <w:tcW w:w="1382" w:type="dxa"/>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分值</w:t>
            </w:r>
          </w:p>
        </w:tc>
        <w:tc>
          <w:tcPr>
            <w:tcW w:w="5360" w:type="dxa"/>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评分标准</w:t>
            </w:r>
          </w:p>
        </w:tc>
        <w:tc>
          <w:tcPr>
            <w:tcW w:w="910" w:type="dxa"/>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22" w:type="dxa"/>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1</w:t>
            </w:r>
          </w:p>
        </w:tc>
        <w:tc>
          <w:tcPr>
            <w:tcW w:w="1005" w:type="dxa"/>
            <w:vAlign w:val="center"/>
          </w:tcPr>
          <w:p>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经济</w:t>
            </w:r>
          </w:p>
          <w:p>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部分</w:t>
            </w:r>
          </w:p>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w:t>
            </w:r>
            <w:r>
              <w:rPr>
                <w:rFonts w:ascii="宋体" w:hAnsi="宋体" w:cs="宋体"/>
                <w:b/>
                <w:bCs/>
                <w:kern w:val="0"/>
                <w:sz w:val="21"/>
                <w:szCs w:val="21"/>
              </w:rPr>
              <w:t>2</w:t>
            </w:r>
            <w:r>
              <w:rPr>
                <w:rFonts w:hint="eastAsia" w:ascii="宋体" w:hAnsi="宋体" w:cs="宋体"/>
                <w:b/>
                <w:bCs/>
                <w:kern w:val="0"/>
                <w:sz w:val="21"/>
                <w:szCs w:val="21"/>
              </w:rPr>
              <w:t>0%）</w:t>
            </w:r>
          </w:p>
        </w:tc>
        <w:tc>
          <w:tcPr>
            <w:tcW w:w="1382" w:type="dxa"/>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最终报价</w:t>
            </w:r>
          </w:p>
          <w:p>
            <w:pPr>
              <w:widowControl/>
              <w:spacing w:line="360" w:lineRule="auto"/>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0分）</w:t>
            </w:r>
          </w:p>
        </w:tc>
        <w:tc>
          <w:tcPr>
            <w:tcW w:w="5360" w:type="dxa"/>
            <w:vAlign w:val="center"/>
          </w:tcPr>
          <w:p>
            <w:pPr>
              <w:spacing w:line="360" w:lineRule="auto"/>
              <w:jc w:val="left"/>
              <w:rPr>
                <w:rFonts w:ascii="宋体" w:hAnsi="宋体"/>
                <w:sz w:val="21"/>
                <w:szCs w:val="21"/>
              </w:rPr>
            </w:pPr>
            <w:r>
              <w:rPr>
                <w:rFonts w:hint="eastAsia" w:ascii="宋体" w:hAnsi="宋体"/>
                <w:sz w:val="21"/>
                <w:szCs w:val="21"/>
              </w:rPr>
              <w:t>满足磋商文件要求且最后报价最低的供应商的价格为磋商基准价，其价格分为满分，其他供应商的价格分按照下列公式计算。</w:t>
            </w:r>
          </w:p>
          <w:p>
            <w:pPr>
              <w:widowControl/>
              <w:spacing w:line="360" w:lineRule="auto"/>
              <w:jc w:val="left"/>
              <w:rPr>
                <w:rFonts w:ascii="宋体" w:hAnsi="宋体" w:cs="宋体"/>
                <w:kern w:val="0"/>
                <w:sz w:val="21"/>
                <w:szCs w:val="21"/>
              </w:rPr>
            </w:pPr>
            <w:r>
              <w:rPr>
                <w:rFonts w:hint="eastAsia" w:ascii="宋体" w:hAnsi="宋体"/>
                <w:sz w:val="21"/>
                <w:szCs w:val="21"/>
              </w:rPr>
              <w:t>磋商报价得分＝（磋商基准价/最后磋商报价）×价格权重×100。</w:t>
            </w:r>
          </w:p>
        </w:tc>
        <w:tc>
          <w:tcPr>
            <w:tcW w:w="910" w:type="dxa"/>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对</w:t>
            </w:r>
            <w:r>
              <w:rPr>
                <w:rFonts w:hint="eastAsia" w:ascii="宋体" w:hAnsi="宋体" w:cs="宋体"/>
                <w:kern w:val="0"/>
                <w:sz w:val="21"/>
                <w:szCs w:val="21"/>
                <w:lang w:eastAsia="zh-CN"/>
              </w:rPr>
              <w:t>符合条件的</w:t>
            </w:r>
            <w:r>
              <w:rPr>
                <w:rFonts w:hint="eastAsia" w:ascii="宋体" w:hAnsi="宋体" w:cs="宋体"/>
                <w:kern w:val="0"/>
                <w:sz w:val="21"/>
                <w:szCs w:val="21"/>
              </w:rPr>
              <w:t>小微企业的</w:t>
            </w:r>
            <w:r>
              <w:rPr>
                <w:rFonts w:hint="eastAsia" w:ascii="宋体" w:hAnsi="宋体" w:cs="宋体"/>
                <w:kern w:val="0"/>
                <w:sz w:val="21"/>
                <w:szCs w:val="21"/>
                <w:lang w:eastAsia="zh-CN"/>
              </w:rPr>
              <w:t>报价</w:t>
            </w:r>
            <w:r>
              <w:rPr>
                <w:rFonts w:hint="eastAsia" w:ascii="宋体" w:hAnsi="宋体" w:cs="宋体"/>
                <w:kern w:val="0"/>
                <w:sz w:val="21"/>
                <w:szCs w:val="21"/>
              </w:rPr>
              <w:t>给予扣除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2" w:type="dxa"/>
            <w:vMerge w:val="restart"/>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2</w:t>
            </w:r>
          </w:p>
        </w:tc>
        <w:tc>
          <w:tcPr>
            <w:tcW w:w="1005" w:type="dxa"/>
            <w:vMerge w:val="restart"/>
            <w:vAlign w:val="center"/>
          </w:tcPr>
          <w:p>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技术</w:t>
            </w:r>
          </w:p>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部分（6</w:t>
            </w:r>
            <w:r>
              <w:rPr>
                <w:rFonts w:ascii="宋体" w:hAnsi="宋体" w:cs="宋体"/>
                <w:b/>
                <w:bCs/>
                <w:kern w:val="0"/>
                <w:sz w:val="21"/>
                <w:szCs w:val="21"/>
              </w:rPr>
              <w:t>8</w:t>
            </w:r>
            <w:r>
              <w:rPr>
                <w:rFonts w:hint="eastAsia" w:ascii="宋体" w:hAnsi="宋体" w:cs="宋体"/>
                <w:b/>
                <w:bCs/>
                <w:kern w:val="0"/>
                <w:sz w:val="21"/>
                <w:szCs w:val="21"/>
              </w:rPr>
              <w:t>%）</w:t>
            </w:r>
          </w:p>
        </w:tc>
        <w:tc>
          <w:tcPr>
            <w:tcW w:w="1382" w:type="dxa"/>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技术参数</w:t>
            </w:r>
          </w:p>
          <w:p>
            <w:pPr>
              <w:widowControl/>
              <w:spacing w:line="360" w:lineRule="auto"/>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50</w:t>
            </w:r>
            <w:r>
              <w:rPr>
                <w:rFonts w:hint="eastAsia" w:ascii="宋体" w:hAnsi="宋体" w:cs="宋体"/>
                <w:kern w:val="0"/>
                <w:sz w:val="21"/>
                <w:szCs w:val="21"/>
              </w:rPr>
              <w:t>分）</w:t>
            </w:r>
          </w:p>
        </w:tc>
        <w:tc>
          <w:tcPr>
            <w:tcW w:w="5360" w:type="dxa"/>
            <w:vAlign w:val="center"/>
          </w:tcPr>
          <w:p>
            <w:pPr>
              <w:widowControl/>
              <w:spacing w:line="360" w:lineRule="auto"/>
              <w:ind w:firstLine="224" w:firstLineChars="107"/>
              <w:jc w:val="left"/>
              <w:rPr>
                <w:rFonts w:ascii="宋体" w:hAnsi="宋体" w:cs="宋体"/>
                <w:kern w:val="0"/>
                <w:sz w:val="21"/>
                <w:szCs w:val="21"/>
              </w:rPr>
            </w:pPr>
            <w:r>
              <w:rPr>
                <w:rFonts w:hint="eastAsia" w:ascii="宋体" w:hAnsi="宋体" w:cs="宋体"/>
                <w:kern w:val="0"/>
                <w:sz w:val="21"/>
                <w:szCs w:val="21"/>
              </w:rPr>
              <w:t>有效</w:t>
            </w:r>
            <w:r>
              <w:rPr>
                <w:rFonts w:hint="eastAsia" w:ascii="宋体" w:hAnsi="宋体" w:eastAsia="宋体"/>
                <w:sz w:val="21"/>
                <w:szCs w:val="21"/>
              </w:rPr>
              <w:t>投标人全部满足本项目招标文件项目技术要求参数得50分；带★号条款必须满足，若有一条不满足扣10分，三条及以上不满足技术部分不得分；其余条款一条不满足的扣5分，五条及以上不满足的技术部分不得分。</w:t>
            </w:r>
          </w:p>
        </w:tc>
        <w:tc>
          <w:tcPr>
            <w:tcW w:w="910" w:type="dxa"/>
            <w:vAlign w:val="center"/>
          </w:tcPr>
          <w:p>
            <w:pPr>
              <w:widowControl/>
              <w:spacing w:line="360" w:lineRule="auto"/>
              <w:jc w:val="left"/>
              <w:rPr>
                <w:rFonts w:ascii="宋体" w:hAnsi="宋体" w:cs="宋体"/>
                <w:strike/>
                <w:kern w:val="0"/>
                <w:sz w:val="21"/>
                <w:szCs w:val="21"/>
              </w:rPr>
            </w:pPr>
            <w:r>
              <w:rPr>
                <w:rFonts w:hint="eastAsia" w:ascii="宋体" w:hAnsi="宋体" w:eastAsia="宋体"/>
                <w:sz w:val="21"/>
                <w:szCs w:val="21"/>
              </w:rPr>
              <w:t>以投标承诺为准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2" w:type="dxa"/>
            <w:vMerge w:val="continue"/>
            <w:vAlign w:val="center"/>
          </w:tcPr>
          <w:p>
            <w:pPr>
              <w:widowControl/>
              <w:spacing w:line="360" w:lineRule="auto"/>
              <w:jc w:val="left"/>
              <w:rPr>
                <w:rFonts w:ascii="宋体" w:hAnsi="宋体" w:cs="宋体"/>
                <w:kern w:val="0"/>
                <w:sz w:val="21"/>
                <w:szCs w:val="21"/>
              </w:rPr>
            </w:pPr>
          </w:p>
        </w:tc>
        <w:tc>
          <w:tcPr>
            <w:tcW w:w="1005" w:type="dxa"/>
            <w:vMerge w:val="continue"/>
            <w:vAlign w:val="center"/>
          </w:tcPr>
          <w:p>
            <w:pPr>
              <w:widowControl/>
              <w:spacing w:line="360" w:lineRule="auto"/>
              <w:jc w:val="center"/>
              <w:rPr>
                <w:rFonts w:ascii="宋体" w:hAnsi="宋体" w:cs="宋体"/>
                <w:b/>
                <w:bCs/>
                <w:kern w:val="0"/>
                <w:sz w:val="21"/>
                <w:szCs w:val="21"/>
              </w:rPr>
            </w:pPr>
          </w:p>
        </w:tc>
        <w:tc>
          <w:tcPr>
            <w:tcW w:w="138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界面集成</w:t>
            </w:r>
          </w:p>
          <w:p>
            <w:pPr>
              <w:widowControl/>
              <w:spacing w:line="360" w:lineRule="auto"/>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r>
              <w:rPr>
                <w:rFonts w:hint="eastAsia" w:ascii="宋体" w:hAnsi="宋体" w:cs="宋体"/>
                <w:kern w:val="0"/>
                <w:sz w:val="21"/>
                <w:szCs w:val="21"/>
              </w:rPr>
              <w:t>分）</w:t>
            </w:r>
          </w:p>
        </w:tc>
        <w:tc>
          <w:tcPr>
            <w:tcW w:w="5360" w:type="dxa"/>
            <w:vAlign w:val="center"/>
          </w:tcPr>
          <w:p>
            <w:pPr>
              <w:widowControl/>
              <w:spacing w:line="360" w:lineRule="auto"/>
              <w:ind w:firstLine="224" w:firstLineChars="107"/>
              <w:jc w:val="left"/>
              <w:rPr>
                <w:rFonts w:ascii="宋体" w:hAnsi="宋体" w:cs="宋体"/>
                <w:kern w:val="0"/>
                <w:sz w:val="21"/>
                <w:szCs w:val="21"/>
              </w:rPr>
            </w:pPr>
            <w:r>
              <w:rPr>
                <w:rFonts w:hint="eastAsia" w:ascii="宋体" w:hAnsi="宋体" w:cs="宋体"/>
                <w:kern w:val="0"/>
                <w:sz w:val="21"/>
                <w:szCs w:val="21"/>
              </w:rPr>
              <w:t>投标人提供基于采购人现有使用住院医生工作站软件界面与单病种上报界面一体化的截图及功能说明。</w:t>
            </w:r>
          </w:p>
          <w:p>
            <w:pPr>
              <w:widowControl/>
              <w:spacing w:line="360" w:lineRule="auto"/>
              <w:ind w:firstLine="226" w:firstLineChars="107"/>
              <w:jc w:val="left"/>
              <w:rPr>
                <w:rFonts w:ascii="宋体" w:hAnsi="宋体" w:cs="宋体"/>
                <w:kern w:val="0"/>
                <w:sz w:val="21"/>
                <w:szCs w:val="21"/>
              </w:rPr>
            </w:pPr>
            <w:r>
              <w:rPr>
                <w:rFonts w:hint="eastAsia" w:ascii="宋体" w:hAnsi="宋体" w:cs="宋体"/>
                <w:b/>
                <w:kern w:val="0"/>
                <w:sz w:val="21"/>
                <w:szCs w:val="21"/>
                <w:u w:val="single"/>
              </w:rPr>
              <w:t>以投标人基于采购人现有使用住院医生工作站软件界面与单病种上报界面一体化的操作截图为准，能够提供得</w:t>
            </w:r>
            <w:r>
              <w:rPr>
                <w:rFonts w:ascii="宋体" w:hAnsi="宋体" w:cs="宋体"/>
                <w:b/>
                <w:kern w:val="0"/>
                <w:sz w:val="21"/>
                <w:szCs w:val="21"/>
                <w:u w:val="single"/>
              </w:rPr>
              <w:t>10</w:t>
            </w:r>
            <w:r>
              <w:rPr>
                <w:rFonts w:hint="eastAsia" w:ascii="宋体" w:hAnsi="宋体" w:cs="宋体"/>
                <w:b/>
                <w:kern w:val="0"/>
                <w:sz w:val="21"/>
                <w:szCs w:val="21"/>
                <w:u w:val="single"/>
              </w:rPr>
              <w:t>分，</w:t>
            </w:r>
            <w:r>
              <w:rPr>
                <w:rFonts w:ascii="宋体" w:hAnsi="宋体" w:cs="宋体"/>
                <w:b/>
                <w:kern w:val="0"/>
                <w:sz w:val="21"/>
                <w:szCs w:val="21"/>
                <w:u w:val="single"/>
              </w:rPr>
              <w:t>不能提供不得分</w:t>
            </w:r>
          </w:p>
        </w:tc>
        <w:tc>
          <w:tcPr>
            <w:tcW w:w="910" w:type="dxa"/>
            <w:vMerge w:val="restart"/>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证明材料均提供复印件加盖投标人鲜章。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22" w:type="dxa"/>
            <w:vMerge w:val="continue"/>
            <w:vAlign w:val="center"/>
          </w:tcPr>
          <w:p>
            <w:pPr>
              <w:widowControl/>
              <w:spacing w:line="360" w:lineRule="auto"/>
              <w:jc w:val="left"/>
              <w:rPr>
                <w:rFonts w:ascii="宋体" w:hAnsi="宋体" w:cs="宋体"/>
                <w:kern w:val="0"/>
                <w:sz w:val="21"/>
                <w:szCs w:val="21"/>
              </w:rPr>
            </w:pPr>
          </w:p>
        </w:tc>
        <w:tc>
          <w:tcPr>
            <w:tcW w:w="1005" w:type="dxa"/>
            <w:vMerge w:val="continue"/>
            <w:vAlign w:val="center"/>
          </w:tcPr>
          <w:p>
            <w:pPr>
              <w:widowControl/>
              <w:spacing w:line="360" w:lineRule="auto"/>
              <w:jc w:val="center"/>
              <w:rPr>
                <w:rFonts w:ascii="宋体" w:hAnsi="宋体" w:cs="宋体"/>
                <w:b/>
                <w:bCs/>
                <w:kern w:val="0"/>
                <w:sz w:val="21"/>
                <w:szCs w:val="21"/>
              </w:rPr>
            </w:pPr>
          </w:p>
        </w:tc>
        <w:tc>
          <w:tcPr>
            <w:tcW w:w="1382" w:type="dxa"/>
            <w:vAlign w:val="center"/>
          </w:tcPr>
          <w:p>
            <w:pPr>
              <w:spacing w:line="360" w:lineRule="auto"/>
              <w:jc w:val="center"/>
              <w:rPr>
                <w:rFonts w:hint="eastAsia" w:ascii="宋体" w:hAnsi="宋体" w:cs="宋体"/>
                <w:kern w:val="0"/>
                <w:sz w:val="21"/>
                <w:szCs w:val="21"/>
              </w:rPr>
            </w:pPr>
            <w:r>
              <w:rPr>
                <w:rFonts w:hint="eastAsia" w:ascii="宋体" w:hAnsi="宋体" w:cs="宋体"/>
                <w:kern w:val="0"/>
                <w:sz w:val="21"/>
                <w:szCs w:val="21"/>
              </w:rPr>
              <w:t>知识产权</w:t>
            </w:r>
          </w:p>
          <w:p>
            <w:pPr>
              <w:spacing w:line="360" w:lineRule="auto"/>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分）</w:t>
            </w:r>
          </w:p>
        </w:tc>
        <w:tc>
          <w:tcPr>
            <w:tcW w:w="5360" w:type="dxa"/>
            <w:vAlign w:val="center"/>
          </w:tcPr>
          <w:p>
            <w:pPr>
              <w:widowControl/>
              <w:spacing w:line="360" w:lineRule="auto"/>
              <w:ind w:firstLine="224" w:firstLineChars="107"/>
              <w:jc w:val="left"/>
              <w:rPr>
                <w:rFonts w:ascii="宋体" w:hAnsi="宋体" w:cs="宋体"/>
                <w:kern w:val="0"/>
                <w:sz w:val="21"/>
                <w:szCs w:val="21"/>
              </w:rPr>
            </w:pPr>
            <w:r>
              <w:rPr>
                <w:rFonts w:hint="eastAsia" w:ascii="宋体" w:hAnsi="宋体" w:cs="宋体"/>
                <w:kern w:val="0"/>
                <w:sz w:val="21"/>
                <w:szCs w:val="21"/>
              </w:rPr>
              <w:t>投标人必须具备以下产品的自主知识产权：</w:t>
            </w:r>
          </w:p>
          <w:p>
            <w:pPr>
              <w:widowControl/>
              <w:spacing w:line="360" w:lineRule="auto"/>
              <w:ind w:firstLine="224" w:firstLineChars="107"/>
              <w:jc w:val="left"/>
              <w:rPr>
                <w:rFonts w:ascii="宋体" w:hAnsi="宋体" w:cs="宋体"/>
                <w:kern w:val="0"/>
                <w:sz w:val="21"/>
                <w:szCs w:val="21"/>
              </w:rPr>
            </w:pPr>
            <w:r>
              <w:rPr>
                <w:rFonts w:hint="eastAsia" w:ascii="宋体" w:hAnsi="宋体" w:cs="宋体"/>
                <w:kern w:val="0"/>
                <w:sz w:val="21"/>
                <w:szCs w:val="21"/>
              </w:rPr>
              <w:t>1.医院信息系统；</w:t>
            </w:r>
          </w:p>
          <w:p>
            <w:pPr>
              <w:widowControl/>
              <w:spacing w:line="360" w:lineRule="auto"/>
              <w:ind w:firstLine="224" w:firstLineChars="107"/>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.单病种上报系统；</w:t>
            </w:r>
          </w:p>
          <w:p>
            <w:pPr>
              <w:widowControl/>
              <w:spacing w:line="360" w:lineRule="auto"/>
              <w:ind w:firstLine="224" w:firstLineChars="107"/>
              <w:jc w:val="left"/>
              <w:rPr>
                <w:rFonts w:ascii="宋体" w:hAnsi="宋体" w:cs="宋体"/>
                <w:kern w:val="0"/>
                <w:sz w:val="21"/>
                <w:szCs w:val="21"/>
              </w:rPr>
            </w:pPr>
            <w:r>
              <w:rPr>
                <w:rFonts w:hint="eastAsia" w:ascii="宋体" w:hAnsi="宋体" w:cs="宋体"/>
                <w:kern w:val="0"/>
                <w:sz w:val="21"/>
                <w:szCs w:val="21"/>
              </w:rPr>
              <w:t>3.医疗质量管理与控制系统软件；</w:t>
            </w:r>
          </w:p>
          <w:p>
            <w:pPr>
              <w:widowControl/>
              <w:spacing w:line="360" w:lineRule="auto"/>
              <w:ind w:firstLine="224" w:firstLineChars="107"/>
              <w:jc w:val="left"/>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w:t>
            </w:r>
            <w:r>
              <w:rPr>
                <w:rFonts w:hint="eastAsia" w:ascii="宋体" w:hAnsi="宋体" w:cs="宋体"/>
                <w:kern w:val="0"/>
                <w:sz w:val="21"/>
                <w:szCs w:val="21"/>
              </w:rPr>
              <w:t>病案首页质量控制系统</w:t>
            </w:r>
          </w:p>
          <w:p>
            <w:pPr>
              <w:widowControl/>
              <w:spacing w:line="360" w:lineRule="auto"/>
              <w:ind w:firstLine="224" w:firstLineChars="107"/>
              <w:jc w:val="left"/>
              <w:rPr>
                <w:rFonts w:hint="eastAsia"/>
              </w:rPr>
            </w:pPr>
            <w:r>
              <w:rPr>
                <w:rFonts w:hint="eastAsia" w:ascii="宋体" w:hAnsi="宋体" w:cs="宋体"/>
                <w:kern w:val="0"/>
                <w:sz w:val="21"/>
                <w:szCs w:val="21"/>
              </w:rPr>
              <w:t>每提供一项得</w:t>
            </w:r>
            <w:r>
              <w:rPr>
                <w:rFonts w:ascii="宋体" w:hAnsi="宋体" w:cs="宋体"/>
                <w:kern w:val="0"/>
                <w:sz w:val="21"/>
                <w:szCs w:val="21"/>
              </w:rPr>
              <w:t>1</w:t>
            </w:r>
            <w:r>
              <w:rPr>
                <w:rFonts w:hint="eastAsia" w:ascii="宋体" w:hAnsi="宋体" w:cs="宋体"/>
                <w:kern w:val="0"/>
                <w:sz w:val="21"/>
                <w:szCs w:val="21"/>
              </w:rPr>
              <w:t>分，最多得</w:t>
            </w:r>
            <w:r>
              <w:rPr>
                <w:rFonts w:ascii="宋体" w:hAnsi="宋体" w:cs="宋体"/>
                <w:kern w:val="0"/>
                <w:sz w:val="21"/>
                <w:szCs w:val="21"/>
              </w:rPr>
              <w:t>4</w:t>
            </w:r>
            <w:r>
              <w:rPr>
                <w:rFonts w:hint="eastAsia" w:ascii="宋体" w:hAnsi="宋体" w:cs="宋体"/>
                <w:kern w:val="0"/>
                <w:sz w:val="21"/>
                <w:szCs w:val="21"/>
              </w:rPr>
              <w:t>分</w:t>
            </w:r>
          </w:p>
        </w:tc>
        <w:tc>
          <w:tcPr>
            <w:tcW w:w="910" w:type="dxa"/>
            <w:vMerge w:val="continue"/>
            <w:vAlign w:val="center"/>
          </w:tcPr>
          <w:p>
            <w:pPr>
              <w:widowControl/>
              <w:spacing w:line="360" w:lineRule="auto"/>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22" w:type="dxa"/>
            <w:vMerge w:val="continue"/>
            <w:vAlign w:val="center"/>
          </w:tcPr>
          <w:p>
            <w:pPr>
              <w:widowControl/>
              <w:spacing w:line="360" w:lineRule="auto"/>
              <w:jc w:val="left"/>
              <w:rPr>
                <w:rFonts w:ascii="宋体" w:hAnsi="宋体" w:cs="宋体"/>
                <w:kern w:val="0"/>
                <w:sz w:val="21"/>
                <w:szCs w:val="21"/>
              </w:rPr>
            </w:pPr>
          </w:p>
        </w:tc>
        <w:tc>
          <w:tcPr>
            <w:tcW w:w="1005" w:type="dxa"/>
            <w:vMerge w:val="continue"/>
            <w:vAlign w:val="center"/>
          </w:tcPr>
          <w:p>
            <w:pPr>
              <w:widowControl/>
              <w:spacing w:line="360" w:lineRule="auto"/>
              <w:jc w:val="center"/>
              <w:rPr>
                <w:rFonts w:ascii="宋体" w:hAnsi="宋体" w:cs="宋体"/>
                <w:b/>
                <w:bCs/>
                <w:kern w:val="0"/>
                <w:sz w:val="21"/>
                <w:szCs w:val="21"/>
              </w:rPr>
            </w:pPr>
          </w:p>
        </w:tc>
        <w:tc>
          <w:tcPr>
            <w:tcW w:w="1382" w:type="dxa"/>
            <w:vAlign w:val="center"/>
          </w:tcPr>
          <w:p>
            <w:pPr>
              <w:spacing w:line="360" w:lineRule="auto"/>
              <w:jc w:val="center"/>
              <w:rPr>
                <w:rFonts w:ascii="宋体" w:hAnsi="宋体" w:cs="宋体"/>
                <w:kern w:val="0"/>
                <w:sz w:val="21"/>
                <w:szCs w:val="21"/>
              </w:rPr>
            </w:pPr>
            <w:r>
              <w:rPr>
                <w:rFonts w:hint="eastAsia" w:ascii="宋体" w:hAnsi="宋体" w:cs="宋体"/>
                <w:kern w:val="0"/>
                <w:sz w:val="21"/>
                <w:szCs w:val="21"/>
              </w:rPr>
              <w:t>企业技术实力（</w:t>
            </w:r>
            <w:r>
              <w:rPr>
                <w:rFonts w:ascii="宋体" w:hAnsi="宋体" w:cs="宋体"/>
                <w:kern w:val="0"/>
                <w:sz w:val="21"/>
                <w:szCs w:val="21"/>
              </w:rPr>
              <w:t>4</w:t>
            </w:r>
            <w:r>
              <w:rPr>
                <w:rFonts w:hint="eastAsia" w:ascii="宋体" w:hAnsi="宋体" w:cs="宋体"/>
                <w:kern w:val="0"/>
                <w:sz w:val="21"/>
                <w:szCs w:val="21"/>
              </w:rPr>
              <w:t>分）</w:t>
            </w:r>
          </w:p>
        </w:tc>
        <w:tc>
          <w:tcPr>
            <w:tcW w:w="5360" w:type="dxa"/>
            <w:vAlign w:val="center"/>
          </w:tcPr>
          <w:p>
            <w:pPr>
              <w:widowControl/>
              <w:spacing w:line="360" w:lineRule="auto"/>
              <w:ind w:firstLine="224" w:firstLineChars="107"/>
              <w:jc w:val="left"/>
              <w:rPr>
                <w:rFonts w:ascii="宋体" w:hAnsi="宋体" w:cs="宋体"/>
                <w:kern w:val="0"/>
                <w:sz w:val="21"/>
                <w:szCs w:val="21"/>
              </w:rPr>
            </w:pPr>
            <w:r>
              <w:rPr>
                <w:rFonts w:hint="eastAsia" w:ascii="宋体" w:hAnsi="宋体" w:cs="宋体"/>
                <w:kern w:val="0"/>
                <w:sz w:val="21"/>
                <w:szCs w:val="21"/>
              </w:rPr>
              <w:t>1.投标人具有软件能力成熟度认证资质，CMMI3级得</w:t>
            </w:r>
            <w:r>
              <w:rPr>
                <w:rFonts w:ascii="宋体" w:hAnsi="宋体" w:cs="宋体"/>
                <w:kern w:val="0"/>
                <w:sz w:val="21"/>
                <w:szCs w:val="21"/>
              </w:rPr>
              <w:t>0.5</w:t>
            </w:r>
            <w:r>
              <w:rPr>
                <w:rFonts w:hint="eastAsia" w:ascii="宋体" w:hAnsi="宋体" w:cs="宋体"/>
                <w:kern w:val="0"/>
                <w:sz w:val="21"/>
                <w:szCs w:val="21"/>
              </w:rPr>
              <w:t>分，CMMI4级得</w:t>
            </w:r>
            <w:r>
              <w:rPr>
                <w:rFonts w:ascii="宋体" w:hAnsi="宋体" w:cs="宋体"/>
                <w:kern w:val="0"/>
                <w:sz w:val="21"/>
                <w:szCs w:val="21"/>
              </w:rPr>
              <w:t>1</w:t>
            </w:r>
            <w:r>
              <w:rPr>
                <w:rFonts w:hint="eastAsia" w:ascii="宋体" w:hAnsi="宋体" w:cs="宋体"/>
                <w:kern w:val="0"/>
                <w:sz w:val="21"/>
                <w:szCs w:val="21"/>
              </w:rPr>
              <w:t>分，CMMI5级得</w:t>
            </w:r>
            <w:r>
              <w:rPr>
                <w:rFonts w:ascii="宋体" w:hAnsi="宋体" w:cs="宋体"/>
                <w:kern w:val="0"/>
                <w:sz w:val="21"/>
                <w:szCs w:val="21"/>
              </w:rPr>
              <w:t>2</w:t>
            </w:r>
            <w:r>
              <w:rPr>
                <w:rFonts w:hint="eastAsia" w:ascii="宋体" w:hAnsi="宋体" w:cs="宋体"/>
                <w:kern w:val="0"/>
                <w:sz w:val="21"/>
                <w:szCs w:val="21"/>
              </w:rPr>
              <w:t>分，3级以下或没有的得0分。</w:t>
            </w:r>
          </w:p>
          <w:p>
            <w:pPr>
              <w:widowControl/>
              <w:spacing w:line="360" w:lineRule="auto"/>
              <w:ind w:firstLine="224" w:firstLineChars="107"/>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.投标人获得省级及以上企业技术中心的得</w:t>
            </w:r>
            <w:r>
              <w:rPr>
                <w:rFonts w:ascii="宋体" w:hAnsi="宋体" w:cs="宋体"/>
                <w:kern w:val="0"/>
                <w:sz w:val="21"/>
                <w:szCs w:val="21"/>
              </w:rPr>
              <w:t>1</w:t>
            </w:r>
            <w:r>
              <w:rPr>
                <w:rFonts w:hint="eastAsia" w:ascii="宋体" w:hAnsi="宋体" w:cs="宋体"/>
                <w:kern w:val="0"/>
                <w:sz w:val="21"/>
                <w:szCs w:val="21"/>
              </w:rPr>
              <w:t>分，没有得0分。</w:t>
            </w:r>
          </w:p>
          <w:p>
            <w:pPr>
              <w:spacing w:line="360" w:lineRule="auto"/>
              <w:ind w:firstLine="224" w:firstLineChars="107"/>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.投标人获得省级及以上优秀信息系统集成及服务企业称号的，有的得</w:t>
            </w:r>
            <w:r>
              <w:rPr>
                <w:rFonts w:ascii="宋体" w:hAnsi="宋体" w:cs="宋体"/>
                <w:kern w:val="0"/>
                <w:sz w:val="21"/>
                <w:szCs w:val="21"/>
              </w:rPr>
              <w:t>1</w:t>
            </w:r>
            <w:r>
              <w:rPr>
                <w:rFonts w:hint="eastAsia" w:ascii="宋体" w:hAnsi="宋体" w:cs="宋体"/>
                <w:kern w:val="0"/>
                <w:sz w:val="21"/>
                <w:szCs w:val="21"/>
              </w:rPr>
              <w:t>分，没有的得0分。</w:t>
            </w:r>
          </w:p>
        </w:tc>
        <w:tc>
          <w:tcPr>
            <w:tcW w:w="910" w:type="dxa"/>
            <w:vMerge w:val="continue"/>
            <w:vAlign w:val="center"/>
          </w:tcPr>
          <w:p>
            <w:pPr>
              <w:widowControl/>
              <w:spacing w:line="360" w:lineRule="auto"/>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22" w:type="dxa"/>
            <w:vMerge w:val="restart"/>
            <w:vAlign w:val="center"/>
          </w:tcPr>
          <w:p>
            <w:pPr>
              <w:widowControl/>
              <w:spacing w:line="360" w:lineRule="auto"/>
              <w:jc w:val="left"/>
              <w:rPr>
                <w:rFonts w:ascii="宋体" w:hAnsi="宋体" w:cs="宋体"/>
                <w:kern w:val="0"/>
                <w:sz w:val="21"/>
                <w:szCs w:val="21"/>
              </w:rPr>
            </w:pPr>
          </w:p>
          <w:p>
            <w:pPr>
              <w:widowControl/>
              <w:spacing w:line="360" w:lineRule="auto"/>
              <w:jc w:val="left"/>
              <w:rPr>
                <w:rFonts w:ascii="宋体" w:hAnsi="宋体" w:cs="宋体"/>
                <w:kern w:val="0"/>
                <w:sz w:val="21"/>
                <w:szCs w:val="21"/>
              </w:rPr>
            </w:pPr>
            <w:r>
              <w:rPr>
                <w:rFonts w:hint="eastAsia" w:ascii="宋体" w:hAnsi="宋体" w:cs="宋体"/>
                <w:kern w:val="0"/>
                <w:sz w:val="21"/>
                <w:szCs w:val="21"/>
              </w:rPr>
              <w:t>3</w:t>
            </w:r>
          </w:p>
        </w:tc>
        <w:tc>
          <w:tcPr>
            <w:tcW w:w="1005" w:type="dxa"/>
            <w:vMerge w:val="restart"/>
            <w:vAlign w:val="center"/>
          </w:tcPr>
          <w:p>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商务</w:t>
            </w:r>
          </w:p>
          <w:p>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部分</w:t>
            </w:r>
          </w:p>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（1</w:t>
            </w:r>
            <w:r>
              <w:rPr>
                <w:rFonts w:ascii="宋体" w:hAnsi="宋体" w:cs="宋体"/>
                <w:b/>
                <w:bCs/>
                <w:kern w:val="0"/>
                <w:sz w:val="21"/>
                <w:szCs w:val="21"/>
              </w:rPr>
              <w:t>2</w:t>
            </w:r>
            <w:r>
              <w:rPr>
                <w:rFonts w:hint="eastAsia" w:ascii="宋体" w:hAnsi="宋体" w:cs="宋体"/>
                <w:b/>
                <w:bCs/>
                <w:kern w:val="0"/>
                <w:sz w:val="21"/>
                <w:szCs w:val="21"/>
              </w:rPr>
              <w:t>%）</w:t>
            </w:r>
          </w:p>
        </w:tc>
        <w:tc>
          <w:tcPr>
            <w:tcW w:w="1382" w:type="dxa"/>
            <w:vAlign w:val="center"/>
          </w:tcPr>
          <w:p>
            <w:pPr>
              <w:spacing w:line="360" w:lineRule="auto"/>
              <w:jc w:val="center"/>
              <w:rPr>
                <w:rFonts w:hint="eastAsia" w:ascii="宋体" w:hAnsi="宋体" w:cs="宋体"/>
                <w:kern w:val="0"/>
                <w:sz w:val="21"/>
                <w:szCs w:val="21"/>
              </w:rPr>
            </w:pPr>
            <w:r>
              <w:rPr>
                <w:rFonts w:hint="eastAsia" w:ascii="宋体" w:hAnsi="宋体" w:cs="宋体"/>
                <w:kern w:val="0"/>
                <w:sz w:val="21"/>
                <w:szCs w:val="21"/>
              </w:rPr>
              <w:t>项目业绩</w:t>
            </w:r>
          </w:p>
          <w:p>
            <w:pPr>
              <w:spacing w:line="360" w:lineRule="auto"/>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分）</w:t>
            </w:r>
          </w:p>
        </w:tc>
        <w:tc>
          <w:tcPr>
            <w:tcW w:w="5360" w:type="dxa"/>
            <w:vAlign w:val="center"/>
          </w:tcPr>
          <w:p>
            <w:pPr>
              <w:spacing w:line="360" w:lineRule="auto"/>
              <w:jc w:val="left"/>
              <w:rPr>
                <w:rFonts w:ascii="宋体" w:hAnsi="宋体" w:cs="宋体"/>
                <w:kern w:val="0"/>
                <w:sz w:val="21"/>
                <w:szCs w:val="21"/>
              </w:rPr>
            </w:pPr>
            <w:r>
              <w:rPr>
                <w:rFonts w:hint="eastAsia" w:ascii="宋体" w:hAnsi="宋体" w:cs="宋体"/>
                <w:kern w:val="0"/>
                <w:sz w:val="21"/>
                <w:szCs w:val="21"/>
              </w:rPr>
              <w:t>1、投标人承建过“单病种上报”相关项目，提供销售合同，提供两个及以上得5分，只提供一个得1分，不提供不得分。</w:t>
            </w:r>
          </w:p>
        </w:tc>
        <w:tc>
          <w:tcPr>
            <w:tcW w:w="910" w:type="dxa"/>
            <w:vMerge w:val="restart"/>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证明材料均提供复印件加盖投标人鲜章。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522" w:type="dxa"/>
            <w:vMerge w:val="continue"/>
            <w:vAlign w:val="center"/>
          </w:tcPr>
          <w:p>
            <w:pPr>
              <w:widowControl/>
              <w:spacing w:line="360" w:lineRule="auto"/>
              <w:jc w:val="left"/>
              <w:rPr>
                <w:rFonts w:ascii="宋体" w:hAnsi="宋体" w:cs="宋体"/>
                <w:kern w:val="0"/>
                <w:sz w:val="21"/>
                <w:szCs w:val="21"/>
              </w:rPr>
            </w:pPr>
          </w:p>
        </w:tc>
        <w:tc>
          <w:tcPr>
            <w:tcW w:w="1005" w:type="dxa"/>
            <w:vMerge w:val="continue"/>
            <w:vAlign w:val="center"/>
          </w:tcPr>
          <w:p>
            <w:pPr>
              <w:widowControl/>
              <w:spacing w:line="360" w:lineRule="auto"/>
              <w:jc w:val="left"/>
              <w:rPr>
                <w:rFonts w:ascii="宋体" w:hAnsi="宋体" w:cs="宋体"/>
                <w:b/>
                <w:bCs/>
                <w:kern w:val="0"/>
                <w:sz w:val="21"/>
                <w:szCs w:val="21"/>
              </w:rPr>
            </w:pPr>
          </w:p>
        </w:tc>
        <w:tc>
          <w:tcPr>
            <w:tcW w:w="1382" w:type="dxa"/>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实施方案</w:t>
            </w:r>
          </w:p>
          <w:p>
            <w:pPr>
              <w:widowControl/>
              <w:spacing w:line="360" w:lineRule="auto"/>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分）</w:t>
            </w:r>
          </w:p>
        </w:tc>
        <w:tc>
          <w:tcPr>
            <w:tcW w:w="5360" w:type="dxa"/>
            <w:vAlign w:val="center"/>
          </w:tcPr>
          <w:p>
            <w:pPr>
              <w:widowControl/>
              <w:spacing w:line="360" w:lineRule="auto"/>
              <w:ind w:firstLine="224" w:firstLineChars="107"/>
              <w:jc w:val="left"/>
              <w:rPr>
                <w:rFonts w:ascii="宋体" w:hAnsi="宋体" w:cs="宋体"/>
                <w:kern w:val="0"/>
                <w:sz w:val="21"/>
                <w:szCs w:val="21"/>
              </w:rPr>
            </w:pPr>
            <w:r>
              <w:rPr>
                <w:rFonts w:hint="eastAsia" w:ascii="宋体" w:hAnsi="宋体" w:cs="宋体"/>
                <w:kern w:val="0"/>
                <w:sz w:val="21"/>
                <w:szCs w:val="21"/>
              </w:rPr>
              <w:t>1.投标人拟委派的项目负责人具有计算机信息系统集成“高级项目经理”资质的，得</w:t>
            </w:r>
            <w:r>
              <w:rPr>
                <w:rFonts w:ascii="宋体" w:hAnsi="宋体" w:cs="宋体"/>
                <w:kern w:val="0"/>
                <w:sz w:val="21"/>
                <w:szCs w:val="21"/>
              </w:rPr>
              <w:t>1</w:t>
            </w:r>
            <w:r>
              <w:rPr>
                <w:rFonts w:hint="eastAsia" w:ascii="宋体" w:hAnsi="宋体" w:cs="宋体"/>
                <w:kern w:val="0"/>
                <w:sz w:val="21"/>
                <w:szCs w:val="21"/>
              </w:rPr>
              <w:t>分，没有的得0分；</w:t>
            </w:r>
          </w:p>
          <w:p>
            <w:pPr>
              <w:spacing w:line="360" w:lineRule="auto"/>
              <w:ind w:firstLine="224" w:firstLineChars="107"/>
              <w:jc w:val="left"/>
              <w:rPr>
                <w:rFonts w:ascii="宋体" w:hAnsi="宋体" w:cs="宋体"/>
                <w:kern w:val="0"/>
                <w:sz w:val="21"/>
                <w:szCs w:val="21"/>
              </w:rPr>
            </w:pPr>
            <w:r>
              <w:rPr>
                <w:rFonts w:hint="eastAsia" w:ascii="宋体" w:hAnsi="宋体" w:cs="宋体"/>
                <w:kern w:val="0"/>
                <w:sz w:val="21"/>
                <w:szCs w:val="21"/>
              </w:rPr>
              <w:t>2.根据投标人针对本项目实施的具体的、合理的、可行的、全面的实施方案，项目实施工期和质量能否保证采购人的要求，评委根据对投标文件的评定酌情打分，得0-</w:t>
            </w:r>
            <w:r>
              <w:rPr>
                <w:rFonts w:ascii="宋体" w:hAnsi="宋体" w:cs="宋体"/>
                <w:kern w:val="0"/>
                <w:sz w:val="21"/>
                <w:szCs w:val="21"/>
              </w:rPr>
              <w:t>4</w:t>
            </w:r>
            <w:r>
              <w:rPr>
                <w:rFonts w:hint="eastAsia" w:ascii="宋体" w:hAnsi="宋体" w:cs="宋体"/>
                <w:kern w:val="0"/>
                <w:sz w:val="21"/>
                <w:szCs w:val="21"/>
              </w:rPr>
              <w:t>分。</w:t>
            </w:r>
          </w:p>
        </w:tc>
        <w:tc>
          <w:tcPr>
            <w:tcW w:w="910" w:type="dxa"/>
            <w:vMerge w:val="continue"/>
            <w:vAlign w:val="center"/>
          </w:tcPr>
          <w:p>
            <w:pPr>
              <w:widowControl/>
              <w:spacing w:line="360" w:lineRule="auto"/>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22" w:type="dxa"/>
            <w:vMerge w:val="continue"/>
            <w:vAlign w:val="center"/>
          </w:tcPr>
          <w:p>
            <w:pPr>
              <w:widowControl/>
              <w:spacing w:line="360" w:lineRule="auto"/>
              <w:jc w:val="left"/>
              <w:rPr>
                <w:rFonts w:ascii="宋体" w:hAnsi="宋体" w:cs="宋体"/>
                <w:kern w:val="0"/>
                <w:sz w:val="21"/>
                <w:szCs w:val="21"/>
              </w:rPr>
            </w:pPr>
          </w:p>
        </w:tc>
        <w:tc>
          <w:tcPr>
            <w:tcW w:w="1005" w:type="dxa"/>
            <w:vMerge w:val="continue"/>
            <w:vAlign w:val="center"/>
          </w:tcPr>
          <w:p>
            <w:pPr>
              <w:widowControl/>
              <w:spacing w:line="360" w:lineRule="auto"/>
              <w:jc w:val="left"/>
              <w:rPr>
                <w:rFonts w:ascii="宋体" w:hAnsi="宋体" w:cs="宋体"/>
                <w:b/>
                <w:bCs/>
                <w:kern w:val="0"/>
                <w:sz w:val="21"/>
                <w:szCs w:val="21"/>
              </w:rPr>
            </w:pPr>
          </w:p>
        </w:tc>
        <w:tc>
          <w:tcPr>
            <w:tcW w:w="1382" w:type="dxa"/>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售后服务</w:t>
            </w:r>
          </w:p>
          <w:p>
            <w:pPr>
              <w:widowControl/>
              <w:spacing w:line="360" w:lineRule="auto"/>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分）</w:t>
            </w:r>
          </w:p>
        </w:tc>
        <w:tc>
          <w:tcPr>
            <w:tcW w:w="5360" w:type="dxa"/>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在满足要求质保期以外，每增加1年得1分，最多得2分。</w:t>
            </w:r>
          </w:p>
        </w:tc>
        <w:tc>
          <w:tcPr>
            <w:tcW w:w="910" w:type="dxa"/>
            <w:vMerge w:val="continue"/>
            <w:vAlign w:val="center"/>
          </w:tcPr>
          <w:p>
            <w:pPr>
              <w:widowControl/>
              <w:spacing w:line="360" w:lineRule="auto"/>
              <w:jc w:val="left"/>
              <w:rPr>
                <w:rFonts w:ascii="宋体" w:hAnsi="宋体" w:cs="宋体"/>
                <w:kern w:val="0"/>
                <w:sz w:val="21"/>
                <w:szCs w:val="21"/>
              </w:rPr>
            </w:pPr>
          </w:p>
        </w:tc>
      </w:tr>
    </w:tbl>
    <w:p>
      <w:pPr>
        <w:snapToGrid w:val="0"/>
        <w:spacing w:line="360" w:lineRule="auto"/>
        <w:ind w:firstLine="482" w:firstLineChars="200"/>
        <w:rPr>
          <w:rFonts w:ascii="宋体" w:hAnsi="宋体"/>
          <w:b/>
          <w:sz w:val="24"/>
          <w:szCs w:val="24"/>
        </w:rPr>
      </w:pPr>
    </w:p>
    <w:p>
      <w:pPr>
        <w:snapToGrid w:val="0"/>
        <w:spacing w:line="360" w:lineRule="auto"/>
        <w:ind w:firstLine="465"/>
        <w:rPr>
          <w:rFonts w:ascii="宋体" w:hAnsi="宋体"/>
          <w:sz w:val="24"/>
          <w:szCs w:val="24"/>
        </w:rPr>
      </w:pPr>
      <w:bookmarkStart w:id="39" w:name="_Toc441065676"/>
      <w:r>
        <w:rPr>
          <w:rFonts w:hint="eastAsia" w:ascii="宋体" w:hAnsi="宋体"/>
          <w:sz w:val="24"/>
          <w:szCs w:val="24"/>
        </w:rPr>
        <w:t>说明：评标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（二）报价政策性扣减</w:t>
      </w:r>
    </w:p>
    <w:p>
      <w:pPr>
        <w:snapToGrid w:val="0"/>
        <w:spacing w:line="360" w:lineRule="auto"/>
        <w:ind w:firstLine="465"/>
        <w:rPr>
          <w:rFonts w:ascii="宋体" w:hAnsi="宋体"/>
          <w:sz w:val="24"/>
          <w:szCs w:val="24"/>
        </w:rPr>
      </w:pPr>
      <w:r>
        <w:rPr>
          <w:rFonts w:hint="eastAsia" w:ascii="宋体" w:hAnsi="宋体"/>
          <w:sz w:val="24"/>
          <w:szCs w:val="24"/>
        </w:rPr>
        <w:t>1、关于小微企业：</w:t>
      </w:r>
    </w:p>
    <w:p>
      <w:pPr>
        <w:snapToGrid w:val="0"/>
        <w:spacing w:line="360" w:lineRule="auto"/>
        <w:ind w:firstLine="465"/>
        <w:rPr>
          <w:rFonts w:ascii="宋体" w:hAnsi="宋体"/>
          <w:sz w:val="24"/>
          <w:szCs w:val="24"/>
        </w:rPr>
      </w:pPr>
      <w:r>
        <w:rPr>
          <w:rFonts w:hint="eastAsia" w:ascii="宋体" w:hAnsi="宋体"/>
          <w:sz w:val="24"/>
          <w:szCs w:val="24"/>
        </w:rPr>
        <w:t>按&lt;关于印发《政府采购促进中小企业发展暂行办法》的通知&gt;（财库〔2011〕181号）之规定，中小企业的标准为：</w:t>
      </w:r>
    </w:p>
    <w:p>
      <w:pPr>
        <w:snapToGrid w:val="0"/>
        <w:spacing w:line="360" w:lineRule="auto"/>
        <w:ind w:firstLine="465"/>
        <w:rPr>
          <w:rFonts w:ascii="宋体" w:hAnsi="宋体"/>
          <w:sz w:val="24"/>
          <w:szCs w:val="24"/>
        </w:rPr>
      </w:pPr>
      <w:r>
        <w:rPr>
          <w:rFonts w:hint="eastAsia" w:ascii="宋体" w:hAnsi="宋体"/>
          <w:sz w:val="24"/>
          <w:szCs w:val="24"/>
        </w:rPr>
        <w:t>1.1提供本企业制造的货物、承担的工程或者服务，或者提供其他中小企业制造的货物，不包括提供或使用大型企业注册商标的货物。</w:t>
      </w:r>
    </w:p>
    <w:p>
      <w:pPr>
        <w:snapToGrid w:val="0"/>
        <w:spacing w:line="360" w:lineRule="auto"/>
        <w:ind w:firstLine="465"/>
        <w:rPr>
          <w:rFonts w:ascii="宋体" w:hAnsi="宋体"/>
          <w:sz w:val="24"/>
          <w:szCs w:val="24"/>
        </w:rPr>
      </w:pPr>
      <w:r>
        <w:rPr>
          <w:rFonts w:hint="eastAsia" w:ascii="宋体" w:hAnsi="宋体"/>
          <w:sz w:val="24"/>
          <w:szCs w:val="24"/>
        </w:rPr>
        <w:t>1.2本规定所称中小企业划分标准按照《工业和信息化部、国家统计局、国家发展和改革委员会、财政部关于印发中小企业划型标准规定的通知》（工信部联企业〔2011〕300号）执行。若投标人认为本企业符合中小企业划分标准，且提供的标的物为本企业制造的货物、承担的工程或服务，须如实填写《中小微企业声明函》。若提供了其他企业制造的货物，且该企业符合《关于印发中小企业划型标准规定的通知》（工信部联企业〔2011〕300号）规定的中小企业划分标准的，还须提供制造商的《中小微企业声明函》原件（涉及多个制造商的，每个制造商均需出具）。中标的小微企业在评审过程中按照政府采购政策享受了报价扣除的，将在结果公告中公告企业类型。</w:t>
      </w:r>
    </w:p>
    <w:p>
      <w:pPr>
        <w:snapToGrid w:val="0"/>
        <w:spacing w:line="360" w:lineRule="auto"/>
        <w:ind w:firstLine="465"/>
        <w:rPr>
          <w:rFonts w:ascii="宋体" w:hAnsi="宋体"/>
          <w:sz w:val="24"/>
          <w:szCs w:val="24"/>
        </w:rPr>
      </w:pPr>
      <w:r>
        <w:rPr>
          <w:rFonts w:hint="eastAsia" w:ascii="宋体" w:hAnsi="宋体"/>
          <w:sz w:val="24"/>
          <w:szCs w:val="24"/>
        </w:rPr>
        <w:t>1.3小型、微型企业提供有中型企业制造的货物的，视同为中型企业；小型、微型、中型企业提供有大型企业制造的货物的，视同为大型企业。</w:t>
      </w:r>
    </w:p>
    <w:p>
      <w:pPr>
        <w:snapToGrid w:val="0"/>
        <w:spacing w:line="360" w:lineRule="auto"/>
        <w:ind w:firstLine="465"/>
        <w:rPr>
          <w:rFonts w:ascii="宋体" w:hAnsi="宋体"/>
          <w:sz w:val="24"/>
          <w:szCs w:val="24"/>
        </w:rPr>
      </w:pPr>
      <w:r>
        <w:rPr>
          <w:rFonts w:hint="eastAsia" w:ascii="宋体" w:hAnsi="宋体"/>
          <w:sz w:val="24"/>
          <w:szCs w:val="24"/>
        </w:rPr>
        <w:t>2、具体投标报价扣除比例说明：</w:t>
      </w:r>
    </w:p>
    <w:p>
      <w:pPr>
        <w:snapToGrid w:val="0"/>
        <w:spacing w:line="360" w:lineRule="auto"/>
        <w:ind w:firstLine="465"/>
        <w:rPr>
          <w:rFonts w:ascii="宋体" w:hAnsi="宋体"/>
          <w:sz w:val="24"/>
          <w:szCs w:val="24"/>
        </w:rPr>
      </w:pPr>
      <w:r>
        <w:rPr>
          <w:rFonts w:hint="eastAsia" w:ascii="宋体" w:hAnsi="宋体"/>
          <w:sz w:val="24"/>
          <w:szCs w:val="24"/>
        </w:rPr>
        <w:t>2.1投标人为非联合体投标的，对小型企业给予6%的扣除，微型企业给予8%的扣除（注册资金十五万及以下的微型企业给予10%的扣除），以扣除后的报价参与评审。</w:t>
      </w:r>
    </w:p>
    <w:p>
      <w:pPr>
        <w:snapToGrid w:val="0"/>
        <w:spacing w:line="360" w:lineRule="auto"/>
        <w:ind w:firstLine="465"/>
        <w:rPr>
          <w:rFonts w:ascii="宋体" w:hAnsi="宋体"/>
          <w:sz w:val="24"/>
          <w:szCs w:val="24"/>
        </w:rPr>
      </w:pPr>
      <w:r>
        <w:rPr>
          <w:rFonts w:hint="eastAsia" w:ascii="宋体" w:hAnsi="宋体"/>
          <w:sz w:val="24"/>
          <w:szCs w:val="24"/>
        </w:rPr>
        <w:t>2.2监狱企业、残疾人福利性单位属于微型企业的，应提供《中小微企业声明函》。未提供以上资料的监狱企业、残疾人福利性单位视同小型企业。</w:t>
      </w:r>
    </w:p>
    <w:p>
      <w:pPr>
        <w:snapToGrid w:val="0"/>
        <w:spacing w:line="360" w:lineRule="auto"/>
        <w:ind w:firstLine="465"/>
        <w:rPr>
          <w:rFonts w:ascii="宋体" w:hAnsi="宋体"/>
          <w:sz w:val="24"/>
          <w:szCs w:val="24"/>
        </w:rPr>
      </w:pPr>
      <w:r>
        <w:rPr>
          <w:rFonts w:hint="eastAsia" w:ascii="宋体" w:hAnsi="宋体"/>
          <w:sz w:val="24"/>
          <w:szCs w:val="24"/>
        </w:rPr>
        <w:t>备注：1、中标的小微企业在评审过程中按照政府采购政策享受了报价扣除的，将在结果公告中公告企业类型。</w:t>
      </w:r>
    </w:p>
    <w:p>
      <w:pPr>
        <w:snapToGrid w:val="0"/>
        <w:spacing w:line="360" w:lineRule="auto"/>
        <w:ind w:firstLine="465"/>
        <w:rPr>
          <w:rFonts w:ascii="宋体" w:hAnsi="宋体"/>
          <w:sz w:val="24"/>
          <w:szCs w:val="24"/>
        </w:rPr>
      </w:pPr>
      <w:r>
        <w:rPr>
          <w:rFonts w:hint="eastAsia" w:ascii="宋体" w:hAnsi="宋体"/>
          <w:sz w:val="24"/>
          <w:szCs w:val="24"/>
        </w:rPr>
        <w:t>2、对于未如实填写《中小微企业声明函》的供应商，一经查实，将按政府采购法律法规进行处理。</w:t>
      </w:r>
    </w:p>
    <w:p>
      <w:pPr>
        <w:spacing w:line="360" w:lineRule="auto"/>
        <w:rPr>
          <w:rFonts w:ascii="宋体"/>
        </w:rPr>
      </w:pPr>
      <w:r>
        <w:rPr>
          <w:rFonts w:ascii="宋体"/>
        </w:rPr>
        <w:t>三、</w:t>
      </w:r>
      <w:bookmarkEnd w:id="39"/>
      <w:r>
        <w:rPr>
          <w:rFonts w:ascii="宋体"/>
        </w:rPr>
        <w:t>供应商或其响应文件出现下列情况之一者，应为无效：</w:t>
      </w:r>
    </w:p>
    <w:p>
      <w:pPr>
        <w:snapToGrid w:val="0"/>
        <w:spacing w:line="360" w:lineRule="auto"/>
        <w:ind w:firstLine="480" w:firstLineChars="200"/>
        <w:rPr>
          <w:rFonts w:ascii="宋体" w:hAnsi="宋体"/>
          <w:sz w:val="24"/>
          <w:szCs w:val="24"/>
        </w:rPr>
      </w:pPr>
      <w:r>
        <w:rPr>
          <w:rFonts w:hint="eastAsia" w:ascii="宋体" w:hAnsi="宋体"/>
          <w:sz w:val="24"/>
          <w:szCs w:val="24"/>
        </w:rPr>
        <w:t>（一）供应商未按磋商文件规定提交磋商保证金的；</w:t>
      </w:r>
    </w:p>
    <w:p>
      <w:pPr>
        <w:snapToGrid w:val="0"/>
        <w:spacing w:line="360" w:lineRule="auto"/>
        <w:ind w:firstLine="480" w:firstLineChars="200"/>
        <w:rPr>
          <w:rFonts w:ascii="宋体" w:hAnsi="宋体"/>
          <w:sz w:val="24"/>
          <w:szCs w:val="24"/>
        </w:rPr>
      </w:pPr>
      <w:r>
        <w:rPr>
          <w:rFonts w:hint="eastAsia" w:ascii="宋体" w:hAnsi="宋体"/>
          <w:sz w:val="24"/>
          <w:szCs w:val="24"/>
        </w:rPr>
        <w:t>（二）供应商法定代表人或法人授权代表未按时参加磋商的；</w:t>
      </w:r>
    </w:p>
    <w:p>
      <w:pPr>
        <w:snapToGrid w:val="0"/>
        <w:spacing w:line="360" w:lineRule="auto"/>
        <w:ind w:firstLine="480" w:firstLineChars="200"/>
        <w:rPr>
          <w:rFonts w:ascii="宋体" w:hAnsi="宋体"/>
          <w:sz w:val="24"/>
          <w:szCs w:val="24"/>
        </w:rPr>
      </w:pPr>
      <w:r>
        <w:rPr>
          <w:rFonts w:hint="eastAsia" w:ascii="宋体" w:hAnsi="宋体"/>
          <w:sz w:val="24"/>
          <w:szCs w:val="24"/>
        </w:rPr>
        <w:t>（三）供应商未通过资格性检查或磋商文件未通过符合性检查的；</w:t>
      </w:r>
    </w:p>
    <w:p>
      <w:pPr>
        <w:snapToGrid w:val="0"/>
        <w:spacing w:line="360" w:lineRule="auto"/>
        <w:ind w:firstLine="480" w:firstLineChars="200"/>
        <w:rPr>
          <w:rFonts w:ascii="宋体" w:hAnsi="宋体"/>
          <w:sz w:val="24"/>
          <w:szCs w:val="24"/>
        </w:rPr>
      </w:pPr>
      <w:r>
        <w:rPr>
          <w:rFonts w:hint="eastAsia" w:ascii="宋体" w:hAnsi="宋体"/>
          <w:sz w:val="24"/>
          <w:szCs w:val="24"/>
        </w:rPr>
        <w:t>（四）报价超出招标文件规定的采购预算的（设定最高限价的不得超过最高限价）；</w:t>
      </w:r>
    </w:p>
    <w:p>
      <w:pPr>
        <w:snapToGrid w:val="0"/>
        <w:spacing w:line="360" w:lineRule="auto"/>
        <w:ind w:firstLine="480" w:firstLineChars="200"/>
        <w:rPr>
          <w:rFonts w:ascii="宋体" w:hAnsi="宋体"/>
          <w:sz w:val="24"/>
          <w:szCs w:val="24"/>
        </w:rPr>
      </w:pPr>
      <w:r>
        <w:rPr>
          <w:rFonts w:hint="eastAsia" w:ascii="宋体" w:hAnsi="宋体"/>
          <w:sz w:val="24"/>
          <w:szCs w:val="24"/>
        </w:rPr>
        <w:t>（五）供应商超出其营业执照或事业单位法人证书上经营范围（业务范围）参与磋商的；</w:t>
      </w:r>
    </w:p>
    <w:p>
      <w:pPr>
        <w:snapToGrid w:val="0"/>
        <w:spacing w:line="360" w:lineRule="auto"/>
        <w:ind w:firstLine="480" w:firstLineChars="200"/>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w:t>
      </w:r>
    </w:p>
    <w:p>
      <w:pPr>
        <w:snapToGrid w:val="0"/>
        <w:spacing w:line="360" w:lineRule="auto"/>
        <w:ind w:firstLine="480" w:firstLineChars="200"/>
        <w:rPr>
          <w:rFonts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（七）为采购项目提供整体设计、规范编制或者项目管理、监理、检测等服务的供应商，再参加该采购项目的其他采购活动的；</w:t>
      </w:r>
    </w:p>
    <w:p>
      <w:pPr>
        <w:snapToGrid w:val="0"/>
        <w:spacing w:line="360" w:lineRule="auto"/>
        <w:ind w:firstLine="480" w:firstLineChars="200"/>
        <w:rPr>
          <w:rFonts w:ascii="宋体" w:hAnsi="宋体"/>
          <w:sz w:val="24"/>
          <w:szCs w:val="24"/>
        </w:rPr>
      </w:pPr>
      <w:r>
        <w:rPr>
          <w:rFonts w:hint="eastAsia" w:ascii="宋体" w:hAnsi="宋体"/>
          <w:sz w:val="24"/>
          <w:szCs w:val="24"/>
        </w:rPr>
        <w:t>（八）响应文件未按照磋商文件第六篇磋商文件格式中所规定签字、盖章的；</w:t>
      </w:r>
    </w:p>
    <w:p>
      <w:pPr>
        <w:snapToGrid w:val="0"/>
        <w:spacing w:line="360" w:lineRule="auto"/>
        <w:ind w:firstLine="480" w:firstLineChars="200"/>
        <w:rPr>
          <w:rFonts w:ascii="宋体" w:hAnsi="宋体"/>
          <w:sz w:val="24"/>
          <w:szCs w:val="24"/>
        </w:rPr>
      </w:pPr>
      <w:r>
        <w:rPr>
          <w:rFonts w:hint="eastAsia" w:ascii="宋体" w:hAnsi="宋体"/>
          <w:sz w:val="24"/>
          <w:szCs w:val="24"/>
        </w:rPr>
        <w:t>（九）响应文件出现多个方案或报价的；</w:t>
      </w:r>
    </w:p>
    <w:p>
      <w:pPr>
        <w:snapToGrid w:val="0"/>
        <w:spacing w:line="360" w:lineRule="auto"/>
        <w:ind w:firstLine="480" w:firstLineChars="200"/>
        <w:rPr>
          <w:rFonts w:ascii="宋体" w:hAnsi="宋体"/>
          <w:sz w:val="24"/>
          <w:szCs w:val="24"/>
        </w:rPr>
      </w:pPr>
      <w:r>
        <w:rPr>
          <w:rFonts w:hint="eastAsia" w:ascii="宋体" w:hAnsi="宋体"/>
          <w:sz w:val="24"/>
          <w:szCs w:val="24"/>
        </w:rPr>
        <w:t>（十）响应文件含有采购人不能接受的附加条件的；</w:t>
      </w:r>
    </w:p>
    <w:p>
      <w:pPr>
        <w:snapToGrid w:val="0"/>
        <w:spacing w:line="360" w:lineRule="auto"/>
        <w:ind w:firstLine="480" w:firstLineChars="200"/>
        <w:rPr>
          <w:rFonts w:ascii="宋体" w:hAnsi="宋体"/>
          <w:sz w:val="24"/>
          <w:szCs w:val="24"/>
        </w:rPr>
      </w:pPr>
      <w:r>
        <w:rPr>
          <w:rFonts w:hint="eastAsia" w:ascii="宋体" w:hAnsi="宋体"/>
          <w:sz w:val="24"/>
          <w:szCs w:val="24"/>
        </w:rPr>
        <w:t>（十一）供应商组成联合体参与磋商的（拒绝联合体磋商时适用）；</w:t>
      </w:r>
    </w:p>
    <w:p>
      <w:pPr>
        <w:snapToGrid w:val="0"/>
        <w:spacing w:line="360" w:lineRule="auto"/>
        <w:ind w:firstLine="480" w:firstLineChars="200"/>
        <w:rPr>
          <w:rFonts w:ascii="宋体" w:hAnsi="宋体"/>
          <w:sz w:val="24"/>
          <w:szCs w:val="24"/>
        </w:rPr>
      </w:pPr>
      <w:r>
        <w:rPr>
          <w:rFonts w:hint="eastAsia" w:ascii="宋体" w:hAnsi="宋体"/>
          <w:sz w:val="24"/>
          <w:szCs w:val="24"/>
        </w:rPr>
        <w:t>（十二）供应商串通投标的；</w:t>
      </w:r>
    </w:p>
    <w:p>
      <w:pPr>
        <w:snapToGrid w:val="0"/>
        <w:spacing w:line="360" w:lineRule="auto"/>
        <w:ind w:firstLine="480" w:firstLineChars="200"/>
        <w:rPr>
          <w:rFonts w:ascii="宋体" w:hAnsi="宋体"/>
          <w:sz w:val="24"/>
          <w:szCs w:val="24"/>
        </w:rPr>
      </w:pPr>
      <w:r>
        <w:rPr>
          <w:rFonts w:hint="eastAsia" w:ascii="宋体" w:hAnsi="宋体"/>
          <w:sz w:val="24"/>
          <w:szCs w:val="24"/>
        </w:rPr>
        <w:t>（十三）法律、法规和磋商文件规定的其他无效情形。</w:t>
      </w:r>
    </w:p>
    <w:p>
      <w:pPr>
        <w:spacing w:line="360" w:lineRule="auto"/>
        <w:rPr>
          <w:rFonts w:ascii="宋体"/>
          <w:sz w:val="24"/>
          <w:szCs w:val="24"/>
        </w:rPr>
      </w:pPr>
      <w:bookmarkStart w:id="40" w:name="_Toc441065677"/>
      <w:r>
        <w:rPr>
          <w:rFonts w:hint="eastAsia" w:ascii="宋体"/>
          <w:b/>
          <w:sz w:val="24"/>
          <w:szCs w:val="24"/>
        </w:rPr>
        <w:t>四、</w:t>
      </w:r>
      <w:bookmarkEnd w:id="40"/>
      <w:r>
        <w:rPr>
          <w:rFonts w:hint="eastAsia" w:ascii="宋体"/>
          <w:sz w:val="24"/>
          <w:szCs w:val="24"/>
        </w:rPr>
        <w:t>磋商小组评审时出现以下情况之一的，应当终止竞争性磋商采购活动：</w:t>
      </w:r>
    </w:p>
    <w:p>
      <w:pPr>
        <w:numPr>
          <w:ilvl w:val="0"/>
          <w:numId w:val="19"/>
        </w:numPr>
        <w:snapToGrid w:val="0"/>
        <w:spacing w:line="360" w:lineRule="auto"/>
        <w:ind w:firstLine="480" w:firstLineChars="200"/>
        <w:rPr>
          <w:rFonts w:ascii="宋体" w:hAnsi="宋体"/>
          <w:sz w:val="24"/>
          <w:szCs w:val="24"/>
        </w:rPr>
      </w:pPr>
      <w:r>
        <w:rPr>
          <w:rFonts w:hint="eastAsia" w:ascii="宋体" w:hAnsi="宋体"/>
          <w:sz w:val="24"/>
          <w:szCs w:val="24"/>
        </w:rPr>
        <w:t>符合专业条件的供应商或者对磋商文件作实质响应的供应商不足三家的；</w:t>
      </w:r>
    </w:p>
    <w:p>
      <w:pPr>
        <w:numPr>
          <w:ilvl w:val="0"/>
          <w:numId w:val="19"/>
        </w:numPr>
        <w:snapToGrid w:val="0"/>
        <w:spacing w:line="360" w:lineRule="auto"/>
        <w:ind w:firstLine="480" w:firstLineChars="200"/>
        <w:rPr>
          <w:rFonts w:ascii="宋体" w:hAnsi="宋体"/>
          <w:sz w:val="24"/>
          <w:szCs w:val="24"/>
        </w:rPr>
      </w:pPr>
      <w:r>
        <w:rPr>
          <w:rFonts w:hint="eastAsia" w:ascii="宋体" w:hAnsi="宋体"/>
          <w:sz w:val="24"/>
          <w:szCs w:val="24"/>
        </w:rPr>
        <w:t>提交最后报价的供应商不足三家的（市场竞争不充分的科研项目，以及需要扶持的科技成果转化项目应为供应商不足二家的）；</w:t>
      </w:r>
    </w:p>
    <w:p>
      <w:pPr>
        <w:numPr>
          <w:ilvl w:val="0"/>
          <w:numId w:val="19"/>
        </w:numPr>
        <w:snapToGrid w:val="0"/>
        <w:spacing w:line="360" w:lineRule="auto"/>
        <w:ind w:firstLine="480" w:firstLineChars="200"/>
        <w:rPr>
          <w:rFonts w:ascii="宋体" w:hAnsi="宋体"/>
          <w:sz w:val="24"/>
          <w:szCs w:val="24"/>
        </w:rPr>
      </w:pPr>
      <w:r>
        <w:rPr>
          <w:rFonts w:hint="eastAsia" w:ascii="宋体" w:hAnsi="宋体"/>
          <w:sz w:val="24"/>
          <w:szCs w:val="24"/>
        </w:rPr>
        <w:t>供应商的报价均超过了采购预算（设定最高限价的不得超过最高限价），采购人不能支付的；</w:t>
      </w:r>
    </w:p>
    <w:p>
      <w:pPr>
        <w:snapToGrid w:val="0"/>
        <w:spacing w:line="360" w:lineRule="auto"/>
        <w:ind w:firstLine="480" w:firstLineChars="200"/>
        <w:rPr>
          <w:rFonts w:ascii="宋体" w:hAnsi="宋体"/>
          <w:sz w:val="24"/>
          <w:szCs w:val="24"/>
        </w:rPr>
      </w:pPr>
      <w:r>
        <w:rPr>
          <w:rFonts w:hint="eastAsia" w:ascii="宋体" w:hAnsi="宋体"/>
          <w:sz w:val="24"/>
          <w:szCs w:val="24"/>
        </w:rPr>
        <w:t>（四）出现影响采购公正的违法、违规行为的；</w:t>
      </w:r>
    </w:p>
    <w:p>
      <w:pPr>
        <w:snapToGrid w:val="0"/>
        <w:spacing w:line="360" w:lineRule="auto"/>
        <w:ind w:firstLine="480" w:firstLineChars="200"/>
        <w:rPr>
          <w:rFonts w:ascii="宋体" w:hAnsi="宋体"/>
          <w:sz w:val="24"/>
          <w:szCs w:val="24"/>
        </w:rPr>
      </w:pPr>
      <w:r>
        <w:rPr>
          <w:rFonts w:hint="eastAsia" w:ascii="宋体" w:hAnsi="宋体"/>
          <w:sz w:val="24"/>
          <w:szCs w:val="24"/>
        </w:rPr>
        <w:t>（五）因重大变故，采购任务取消的。</w:t>
      </w:r>
    </w:p>
    <w:p>
      <w:pPr>
        <w:snapToGrid w:val="0"/>
        <w:spacing w:line="360" w:lineRule="auto"/>
        <w:ind w:firstLine="480" w:firstLineChars="200"/>
        <w:rPr>
          <w:rFonts w:ascii="宋体" w:hAnsi="宋体"/>
          <w:sz w:val="24"/>
          <w:szCs w:val="24"/>
        </w:rPr>
      </w:pPr>
      <w:r>
        <w:rPr>
          <w:rFonts w:hint="eastAsia" w:ascii="宋体" w:hAnsi="宋体"/>
          <w:sz w:val="24"/>
          <w:szCs w:val="24"/>
        </w:rPr>
        <w:t>竞争性磋商活动终止后，除采购任务取消情形外，应当重新组织采购。</w:t>
      </w:r>
    </w:p>
    <w:p>
      <w:pPr>
        <w:pStyle w:val="2"/>
        <w:spacing w:before="0" w:beforeLines="0" w:after="0" w:afterLines="0" w:line="360" w:lineRule="auto"/>
        <w:rPr>
          <w:rFonts w:ascii="宋体" w:hAnsi="宋体" w:eastAsia="宋体"/>
        </w:rPr>
      </w:pPr>
      <w:r>
        <w:rPr>
          <w:rFonts w:hint="eastAsia" w:ascii="宋体" w:hAnsi="宋体" w:eastAsia="宋体"/>
          <w:sz w:val="28"/>
        </w:rPr>
        <w:br w:type="page"/>
      </w:r>
      <w:bookmarkStart w:id="41" w:name="_Toc19270"/>
      <w:r>
        <w:rPr>
          <w:rFonts w:hint="eastAsia" w:ascii="宋体" w:hAnsi="宋体" w:eastAsia="宋体"/>
        </w:rPr>
        <w:t>第四篇  供应商须知</w:t>
      </w:r>
      <w:bookmarkEnd w:id="41"/>
    </w:p>
    <w:p>
      <w:pPr>
        <w:pStyle w:val="3"/>
        <w:ind w:firstLine="482" w:firstLineChars="200"/>
        <w:rPr>
          <w:b/>
          <w:sz w:val="24"/>
        </w:rPr>
      </w:pPr>
      <w:bookmarkStart w:id="42" w:name="_Toc441065679"/>
      <w:bookmarkStart w:id="43" w:name="_Toc22522"/>
      <w:r>
        <w:rPr>
          <w:rFonts w:hint="eastAsia"/>
          <w:b/>
          <w:sz w:val="24"/>
        </w:rPr>
        <w:t>一、</w:t>
      </w:r>
      <w:bookmarkEnd w:id="42"/>
      <w:r>
        <w:rPr>
          <w:rFonts w:hint="eastAsia"/>
          <w:b/>
          <w:sz w:val="24"/>
        </w:rPr>
        <w:t>供应商</w:t>
      </w:r>
      <w:bookmarkEnd w:id="43"/>
    </w:p>
    <w:p>
      <w:pPr>
        <w:snapToGrid w:val="0"/>
        <w:spacing w:line="360" w:lineRule="auto"/>
        <w:ind w:firstLine="480" w:firstLineChars="200"/>
        <w:rPr>
          <w:rFonts w:ascii="宋体" w:hAnsi="宋体"/>
          <w:sz w:val="24"/>
        </w:rPr>
      </w:pPr>
      <w:r>
        <w:rPr>
          <w:rFonts w:hint="eastAsia" w:ascii="宋体" w:hAnsi="宋体"/>
          <w:sz w:val="24"/>
        </w:rPr>
        <w:t>1、合格供应商条件</w:t>
      </w:r>
    </w:p>
    <w:p>
      <w:pPr>
        <w:snapToGrid w:val="0"/>
        <w:spacing w:line="360" w:lineRule="auto"/>
        <w:ind w:firstLine="480" w:firstLineChars="200"/>
        <w:rPr>
          <w:rFonts w:ascii="宋体" w:hAnsi="宋体"/>
          <w:sz w:val="24"/>
        </w:rPr>
      </w:pPr>
      <w:r>
        <w:rPr>
          <w:rFonts w:hint="eastAsia" w:ascii="宋体" w:hAnsi="宋体"/>
          <w:sz w:val="24"/>
        </w:rPr>
        <w:t>合格供应商应完全符合磋商文件第一篇中规定的供应商资格条件，并对磋商文件作出实质性响应。</w:t>
      </w:r>
    </w:p>
    <w:p>
      <w:pPr>
        <w:snapToGrid w:val="0"/>
        <w:spacing w:line="360" w:lineRule="auto"/>
        <w:ind w:firstLine="480" w:firstLineChars="200"/>
        <w:rPr>
          <w:rFonts w:ascii="宋体" w:hAnsi="宋体"/>
          <w:sz w:val="24"/>
          <w:szCs w:val="28"/>
        </w:rPr>
      </w:pPr>
      <w:r>
        <w:rPr>
          <w:rFonts w:hint="eastAsia" w:ascii="宋体" w:hAnsi="宋体"/>
          <w:sz w:val="24"/>
          <w:szCs w:val="28"/>
        </w:rPr>
        <w:t>2、供应商的风险</w:t>
      </w:r>
    </w:p>
    <w:p>
      <w:pPr>
        <w:snapToGrid w:val="0"/>
        <w:spacing w:line="360" w:lineRule="auto"/>
        <w:ind w:firstLine="480" w:firstLineChars="200"/>
        <w:rPr>
          <w:rFonts w:ascii="宋体" w:hAnsi="宋体"/>
          <w:sz w:val="24"/>
        </w:rPr>
      </w:pPr>
      <w:r>
        <w:rPr>
          <w:rFonts w:hint="eastAsia" w:ascii="宋体" w:hAnsi="宋体"/>
          <w:sz w:val="24"/>
        </w:rPr>
        <w:t>供应商没有按照磋商文件要求提供全部资料，或者供应商没有对磋商文件在各方面作出实质性响应，可能导致拒绝参与磋商或评定为无效。</w:t>
      </w:r>
    </w:p>
    <w:p>
      <w:pPr>
        <w:pStyle w:val="3"/>
        <w:ind w:firstLine="482" w:firstLineChars="200"/>
        <w:rPr>
          <w:b/>
          <w:sz w:val="24"/>
        </w:rPr>
      </w:pPr>
      <w:bookmarkStart w:id="44" w:name="_Toc441065680"/>
      <w:bookmarkStart w:id="45" w:name="_Toc6512"/>
      <w:r>
        <w:rPr>
          <w:rFonts w:hint="eastAsia"/>
          <w:b/>
          <w:sz w:val="24"/>
        </w:rPr>
        <w:t>二、磋商文件</w:t>
      </w:r>
      <w:bookmarkEnd w:id="44"/>
      <w:bookmarkEnd w:id="45"/>
    </w:p>
    <w:p>
      <w:pPr>
        <w:snapToGrid w:val="0"/>
        <w:spacing w:line="360" w:lineRule="auto"/>
        <w:ind w:firstLine="480" w:firstLineChars="200"/>
        <w:rPr>
          <w:rFonts w:ascii="宋体" w:hAnsi="宋体"/>
          <w:sz w:val="24"/>
        </w:rPr>
      </w:pPr>
      <w:r>
        <w:rPr>
          <w:rFonts w:hint="eastAsia" w:ascii="宋体" w:hAnsi="宋体"/>
          <w:sz w:val="24"/>
        </w:rPr>
        <w:t>磋商文件是供应商编制响应文件的依据，是磋商小组评判依据和标准。磋商文件也是采购人与成交供应商签订合同的基础。</w:t>
      </w:r>
    </w:p>
    <w:p>
      <w:pPr>
        <w:snapToGrid w:val="0"/>
        <w:spacing w:line="360" w:lineRule="auto"/>
        <w:ind w:firstLine="480" w:firstLineChars="200"/>
        <w:rPr>
          <w:rFonts w:ascii="宋体" w:hAnsi="宋体"/>
          <w:sz w:val="24"/>
        </w:rPr>
      </w:pPr>
      <w:r>
        <w:rPr>
          <w:rFonts w:hint="eastAsia" w:ascii="宋体" w:hAnsi="宋体"/>
          <w:sz w:val="24"/>
        </w:rPr>
        <w:t>（一）磋商文件由竞争性磋商邀请书；项目具体要求；评审程序、评审方法和评审标准；供应商须知；合同主要条款和格式合同样本；响应文件格式等六部分组成。</w:t>
      </w:r>
    </w:p>
    <w:p>
      <w:pPr>
        <w:snapToGrid w:val="0"/>
        <w:spacing w:line="360" w:lineRule="auto"/>
        <w:ind w:firstLine="480"/>
        <w:rPr>
          <w:rFonts w:ascii="宋体" w:hAnsi="宋体"/>
          <w:sz w:val="24"/>
        </w:rPr>
      </w:pPr>
      <w:r>
        <w:rPr>
          <w:rFonts w:hint="eastAsia" w:ascii="宋体" w:hAnsi="宋体"/>
          <w:sz w:val="24"/>
          <w:szCs w:val="28"/>
        </w:rPr>
        <w:t>（二）</w:t>
      </w:r>
      <w:r>
        <w:rPr>
          <w:rFonts w:hint="eastAsia" w:ascii="宋体" w:hAnsi="宋体"/>
          <w:sz w:val="24"/>
        </w:rPr>
        <w:t>采购人对磋商文件所作的一切有效的书面通知、修改及补充，都是磋商文件不可分割的部分。</w:t>
      </w:r>
    </w:p>
    <w:p>
      <w:pPr>
        <w:snapToGrid w:val="0"/>
        <w:spacing w:line="360" w:lineRule="auto"/>
        <w:ind w:firstLine="480"/>
        <w:rPr>
          <w:rFonts w:ascii="宋体" w:hAnsi="宋体"/>
          <w:sz w:val="24"/>
        </w:rPr>
      </w:pPr>
      <w:r>
        <w:rPr>
          <w:rFonts w:hint="eastAsia" w:ascii="宋体" w:hAnsi="宋体"/>
          <w:sz w:val="24"/>
        </w:rPr>
        <w:t>（三）采购人对磋商文件所作的一切有效的通知、补遗、澄清或修改（以网上公示内容为准），都是磋商文件不可分割的部分。</w:t>
      </w:r>
    </w:p>
    <w:p>
      <w:pPr>
        <w:snapToGrid w:val="0"/>
        <w:spacing w:line="360" w:lineRule="auto"/>
        <w:ind w:firstLine="480"/>
        <w:rPr>
          <w:rFonts w:ascii="宋体" w:hAnsi="宋体"/>
          <w:sz w:val="24"/>
        </w:rPr>
      </w:pPr>
      <w:r>
        <w:rPr>
          <w:rFonts w:hint="eastAsia" w:ascii="宋体" w:hAnsi="宋体"/>
          <w:sz w:val="24"/>
        </w:rPr>
        <w:t>（四）本项目所有补遗文件（包含澄清或者修改文件）一律在</w:t>
      </w:r>
      <w:r>
        <w:rPr>
          <w:rFonts w:hint="eastAsia" w:ascii="宋体" w:hAnsi="宋体"/>
          <w:sz w:val="24"/>
          <w:szCs w:val="24"/>
        </w:rPr>
        <w:t>重庆市第九人民医院官网</w:t>
      </w:r>
      <w:r>
        <w:rPr>
          <w:rFonts w:hint="eastAsia" w:ascii="宋体" w:hAnsi="宋体"/>
          <w:sz w:val="24"/>
        </w:rPr>
        <w:t>发布，请各供应商注意下载，</w:t>
      </w:r>
      <w:r>
        <w:rPr>
          <w:rFonts w:hint="eastAsia" w:ascii="宋体" w:hAnsi="宋体"/>
          <w:sz w:val="24"/>
          <w:szCs w:val="24"/>
        </w:rPr>
        <w:t>无论供应商下载与否，均视同供应商已知晓本项目磋商文件、补遗文件的内容</w:t>
      </w:r>
      <w:r>
        <w:rPr>
          <w:rFonts w:hint="eastAsia" w:ascii="宋体" w:hAnsi="宋体"/>
          <w:sz w:val="24"/>
        </w:rPr>
        <w:t>。</w:t>
      </w:r>
    </w:p>
    <w:p>
      <w:pPr>
        <w:pStyle w:val="3"/>
        <w:ind w:firstLine="482" w:firstLineChars="200"/>
        <w:rPr>
          <w:b/>
          <w:sz w:val="24"/>
        </w:rPr>
      </w:pPr>
      <w:bookmarkStart w:id="46" w:name="_Toc441065681"/>
      <w:bookmarkStart w:id="47" w:name="_Toc18827"/>
      <w:r>
        <w:rPr>
          <w:rFonts w:hint="eastAsia"/>
          <w:b/>
          <w:sz w:val="24"/>
        </w:rPr>
        <w:t>三、响应文件</w:t>
      </w:r>
      <w:bookmarkEnd w:id="46"/>
      <w:bookmarkEnd w:id="47"/>
    </w:p>
    <w:p>
      <w:pPr>
        <w:spacing w:line="360" w:lineRule="auto"/>
        <w:ind w:firstLine="480" w:firstLineChars="200"/>
        <w:rPr>
          <w:rFonts w:ascii="宋体" w:hAnsi="宋体"/>
          <w:sz w:val="24"/>
        </w:rPr>
      </w:pPr>
      <w:r>
        <w:rPr>
          <w:rFonts w:hint="eastAsia" w:ascii="宋体" w:hAnsi="宋体"/>
          <w:sz w:val="24"/>
        </w:rPr>
        <w:t>供应商应当按照磋商文件的要求编制响应文件，并对磋商文件提出的要求和条件作出实质性响应，响应文件原则上采用软面订本，同时应编制完整的页码、目录。</w:t>
      </w:r>
    </w:p>
    <w:p>
      <w:pPr>
        <w:spacing w:line="360" w:lineRule="auto"/>
        <w:ind w:firstLine="480" w:firstLineChars="200"/>
        <w:rPr>
          <w:rFonts w:ascii="宋体" w:hAnsi="宋体"/>
          <w:sz w:val="24"/>
        </w:rPr>
      </w:pPr>
      <w:r>
        <w:rPr>
          <w:rFonts w:hint="eastAsia" w:ascii="宋体" w:hAnsi="宋体"/>
          <w:sz w:val="24"/>
        </w:rPr>
        <w:t>（一）响应文件组成</w:t>
      </w:r>
    </w:p>
    <w:p>
      <w:pPr>
        <w:spacing w:line="360" w:lineRule="auto"/>
        <w:ind w:firstLine="480" w:firstLineChars="200"/>
        <w:rPr>
          <w:rFonts w:ascii="宋体" w:hAnsi="宋体"/>
          <w:sz w:val="24"/>
        </w:rPr>
      </w:pPr>
      <w:r>
        <w:rPr>
          <w:rFonts w:hint="eastAsia" w:ascii="宋体" w:hAnsi="宋体"/>
          <w:sz w:val="24"/>
        </w:rPr>
        <w:t>响应文件由第六篇“响应文件格式”规定的部分和供应商所作的一切有效补充、修改和承诺等文件组成，供应商应按照第六篇“响应文件格式”规定的目录顺序组织编写和装订，否则有可能影响磋商小组对响应文件的评审。</w:t>
      </w:r>
    </w:p>
    <w:p>
      <w:pPr>
        <w:spacing w:line="360" w:lineRule="auto"/>
        <w:ind w:firstLine="480" w:firstLineChars="200"/>
        <w:rPr>
          <w:rFonts w:ascii="宋体" w:hAnsi="宋体" w:cs="方正仿宋_GBK"/>
          <w:b/>
          <w:bCs/>
          <w:sz w:val="24"/>
          <w:szCs w:val="24"/>
          <w:u w:val="single"/>
        </w:rPr>
      </w:pPr>
      <w:r>
        <w:rPr>
          <w:rFonts w:hint="eastAsia" w:ascii="宋体" w:hAnsi="宋体"/>
          <w:sz w:val="24"/>
        </w:rPr>
        <w:t>（二）联合参与磋商</w:t>
      </w:r>
      <w:r>
        <w:rPr>
          <w:rFonts w:hint="eastAsia" w:ascii="宋体" w:hAnsi="宋体"/>
          <w:sz w:val="24"/>
          <w:lang w:val="en-US" w:eastAsia="zh-CN"/>
        </w:rPr>
        <w:t xml:space="preserve">: </w:t>
      </w:r>
      <w:r>
        <w:rPr>
          <w:rFonts w:hint="eastAsia" w:ascii="宋体" w:hAnsi="宋体" w:cs="方正仿宋_GBK"/>
          <w:b/>
          <w:bCs/>
          <w:sz w:val="24"/>
          <w:szCs w:val="24"/>
          <w:u w:val="single"/>
        </w:rPr>
        <w:t>本项目不支持联合体投标</w:t>
      </w:r>
    </w:p>
    <w:p>
      <w:pPr>
        <w:spacing w:line="360" w:lineRule="auto"/>
        <w:ind w:firstLine="480" w:firstLineChars="200"/>
        <w:rPr>
          <w:rFonts w:ascii="宋体" w:hAnsi="宋体"/>
          <w:sz w:val="24"/>
        </w:rPr>
      </w:pPr>
      <w:r>
        <w:rPr>
          <w:rFonts w:hint="eastAsia" w:ascii="宋体" w:hAnsi="宋体"/>
          <w:sz w:val="24"/>
        </w:rPr>
        <w:t>（三）响应文件有效期</w:t>
      </w:r>
    </w:p>
    <w:p>
      <w:pPr>
        <w:spacing w:line="360" w:lineRule="auto"/>
        <w:ind w:firstLine="480" w:firstLineChars="200"/>
        <w:rPr>
          <w:rFonts w:ascii="宋体" w:hAnsi="宋体"/>
          <w:sz w:val="24"/>
        </w:rPr>
      </w:pPr>
      <w:r>
        <w:rPr>
          <w:rFonts w:hint="eastAsia" w:ascii="宋体" w:hAnsi="宋体"/>
          <w:sz w:val="24"/>
        </w:rPr>
        <w:t>响应文件有效期为响应文件提交截止日期后九十天内。</w:t>
      </w:r>
    </w:p>
    <w:p>
      <w:pPr>
        <w:spacing w:line="360" w:lineRule="auto"/>
        <w:ind w:firstLine="480" w:firstLineChars="200"/>
        <w:rPr>
          <w:rFonts w:ascii="宋体" w:hAnsi="宋体"/>
          <w:sz w:val="24"/>
        </w:rPr>
      </w:pPr>
      <w:r>
        <w:rPr>
          <w:rFonts w:hint="eastAsia" w:ascii="宋体" w:hAnsi="宋体"/>
          <w:sz w:val="24"/>
        </w:rPr>
        <w:t>（四）磋商保证金</w:t>
      </w:r>
    </w:p>
    <w:p>
      <w:pPr>
        <w:tabs>
          <w:tab w:val="left" w:pos="0"/>
        </w:tabs>
        <w:snapToGrid w:val="0"/>
        <w:spacing w:line="360" w:lineRule="auto"/>
        <w:ind w:firstLine="480" w:firstLineChars="200"/>
        <w:rPr>
          <w:rFonts w:ascii="宋体" w:hAnsi="宋体"/>
          <w:sz w:val="24"/>
        </w:rPr>
      </w:pPr>
      <w:r>
        <w:rPr>
          <w:rFonts w:hint="eastAsia" w:ascii="宋体" w:hAnsi="宋体"/>
          <w:sz w:val="24"/>
        </w:rPr>
        <w:t>1、供应商应在响应文件提交截止时间前，按磋商文件第一篇规定缴纳磋商保证金。</w:t>
      </w:r>
    </w:p>
    <w:p>
      <w:pPr>
        <w:tabs>
          <w:tab w:val="left" w:pos="0"/>
        </w:tabs>
        <w:spacing w:line="360" w:lineRule="auto"/>
        <w:ind w:firstLine="480" w:firstLineChars="200"/>
        <w:rPr>
          <w:rFonts w:ascii="宋体" w:hAnsi="宋体"/>
          <w:sz w:val="24"/>
        </w:rPr>
      </w:pPr>
      <w:r>
        <w:rPr>
          <w:rFonts w:hint="eastAsia" w:ascii="宋体" w:hAnsi="宋体"/>
          <w:sz w:val="24"/>
        </w:rPr>
        <w:t>2、磋商保证金为磋商的有效约束条件。</w:t>
      </w:r>
    </w:p>
    <w:p>
      <w:pPr>
        <w:tabs>
          <w:tab w:val="left" w:pos="0"/>
        </w:tabs>
        <w:spacing w:line="360" w:lineRule="auto"/>
        <w:ind w:firstLine="480" w:firstLineChars="200"/>
        <w:rPr>
          <w:rFonts w:ascii="宋体" w:hAnsi="宋体"/>
          <w:sz w:val="24"/>
        </w:rPr>
      </w:pPr>
      <w:r>
        <w:rPr>
          <w:rFonts w:hint="eastAsia" w:ascii="宋体" w:hAnsi="宋体"/>
          <w:sz w:val="24"/>
        </w:rPr>
        <w:t>3、磋商保证金的有效期限在响应文件有效期过后三十天内继续有效。</w:t>
      </w:r>
    </w:p>
    <w:p>
      <w:pPr>
        <w:tabs>
          <w:tab w:val="left" w:pos="0"/>
        </w:tabs>
        <w:spacing w:line="360" w:lineRule="auto"/>
        <w:ind w:firstLine="480" w:firstLineChars="200"/>
        <w:rPr>
          <w:rFonts w:ascii="宋体" w:hAnsi="宋体"/>
          <w:sz w:val="24"/>
        </w:rPr>
      </w:pPr>
      <w:r>
        <w:rPr>
          <w:rFonts w:hint="eastAsia" w:ascii="宋体" w:hAnsi="宋体"/>
          <w:sz w:val="24"/>
        </w:rPr>
        <w:t>4、磋商保证金币种应与响应文件中报价币种相同。</w:t>
      </w:r>
    </w:p>
    <w:p>
      <w:pPr>
        <w:tabs>
          <w:tab w:val="left" w:pos="0"/>
        </w:tabs>
        <w:spacing w:line="360" w:lineRule="auto"/>
        <w:ind w:firstLine="480" w:firstLineChars="200"/>
        <w:rPr>
          <w:rFonts w:ascii="宋体" w:hAnsi="宋体"/>
          <w:sz w:val="24"/>
        </w:rPr>
      </w:pPr>
      <w:r>
        <w:rPr>
          <w:rFonts w:hint="eastAsia" w:ascii="宋体" w:hAnsi="宋体"/>
          <w:sz w:val="24"/>
        </w:rPr>
        <w:t>5、采购人在《成交通知书》发出后五个工作日内无息退还未成交供应商的磋商保证金；在采购合同签订后五个工作日无息退还成交供应商的磋商保证金。</w:t>
      </w:r>
    </w:p>
    <w:p>
      <w:pPr>
        <w:tabs>
          <w:tab w:val="left" w:pos="0"/>
        </w:tabs>
        <w:spacing w:line="360" w:lineRule="auto"/>
        <w:ind w:firstLine="480" w:firstLineChars="200"/>
        <w:rPr>
          <w:rFonts w:ascii="宋体" w:hAnsi="宋体"/>
          <w:sz w:val="24"/>
        </w:rPr>
      </w:pPr>
      <w:r>
        <w:rPr>
          <w:rFonts w:hint="eastAsia" w:ascii="宋体" w:hAnsi="宋体"/>
          <w:sz w:val="24"/>
        </w:rPr>
        <w:t>6、供应商有下列情形之一的，经监督部门和采购人确认属实，磋商保证金将不予退还，由采购代理机构上缴国库：</w:t>
      </w:r>
    </w:p>
    <w:p>
      <w:pPr>
        <w:spacing w:line="360" w:lineRule="auto"/>
        <w:ind w:firstLine="480" w:firstLineChars="200"/>
        <w:rPr>
          <w:rFonts w:ascii="宋体" w:hAnsi="宋体"/>
          <w:sz w:val="24"/>
          <w:szCs w:val="24"/>
        </w:rPr>
      </w:pPr>
      <w:r>
        <w:rPr>
          <w:rFonts w:hint="eastAsia" w:ascii="宋体" w:hAnsi="宋体"/>
          <w:sz w:val="24"/>
          <w:szCs w:val="24"/>
        </w:rPr>
        <w:t>（1）供应商在提交响应文件截止时间后撤回响应文件的；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（3）除因不可抗力或竞争性磋商文件认可的情形以外，成交供应商不与采购人签订合同的；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（4）供应商与采购人、其他供应商或者采购代理机构恶意串通的；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（5）成交供应商不按规定的时间或拒绝按成交状态签订合同（即不按照采购文件确定的合同文本以及采购标的、规格型号、采购金额、采购数量、技术和服务要求等事项签订政府采购合同的。）。</w:t>
      </w:r>
    </w:p>
    <w:p>
      <w:pPr>
        <w:snapToGrid w:val="0"/>
        <w:spacing w:line="360" w:lineRule="auto"/>
        <w:ind w:firstLine="470" w:firstLineChars="196"/>
        <w:jc w:val="left"/>
        <w:rPr>
          <w:rFonts w:ascii="宋体" w:hAnsi="宋体"/>
          <w:bCs/>
          <w:sz w:val="24"/>
        </w:rPr>
      </w:pPr>
      <w:r>
        <w:rPr>
          <w:rFonts w:hint="eastAsia" w:ascii="宋体" w:hAnsi="宋体"/>
          <w:bCs/>
          <w:sz w:val="24"/>
        </w:rPr>
        <w:t>（五）响应文件的份数和签署</w:t>
      </w:r>
    </w:p>
    <w:p>
      <w:pPr>
        <w:tabs>
          <w:tab w:val="left" w:pos="0"/>
        </w:tabs>
        <w:spacing w:line="360" w:lineRule="auto"/>
        <w:ind w:firstLine="480" w:firstLineChars="200"/>
        <w:rPr>
          <w:rFonts w:ascii="宋体" w:hAnsi="宋体"/>
          <w:sz w:val="24"/>
        </w:rPr>
      </w:pPr>
      <w:r>
        <w:rPr>
          <w:rFonts w:hint="eastAsia" w:ascii="宋体" w:hAnsi="宋体"/>
          <w:sz w:val="24"/>
        </w:rPr>
        <w:t>1、响应文件一式二份，其中正本一份，副本一份。每套纸质响应文件须在封面清楚地标明“正本”或“副本”，副本应为正本的完整复印件，副本与正本不一致时以正本为准。</w:t>
      </w:r>
    </w:p>
    <w:p>
      <w:pPr>
        <w:tabs>
          <w:tab w:val="left" w:pos="0"/>
        </w:tabs>
        <w:spacing w:line="360" w:lineRule="auto"/>
        <w:ind w:firstLine="480" w:firstLineChars="200"/>
        <w:rPr>
          <w:rFonts w:ascii="宋体" w:hAnsi="宋体"/>
          <w:sz w:val="24"/>
        </w:rPr>
      </w:pPr>
      <w:r>
        <w:rPr>
          <w:rFonts w:hint="eastAsia" w:ascii="宋体" w:hAnsi="宋体"/>
          <w:sz w:val="24"/>
        </w:rPr>
        <w:t>2、在磋商文件第六篇响应文件格式中规定签字、盖章的地方必须按其规定签字、盖章。</w:t>
      </w:r>
    </w:p>
    <w:p>
      <w:pPr>
        <w:tabs>
          <w:tab w:val="left" w:pos="0"/>
        </w:tabs>
        <w:spacing w:line="360" w:lineRule="auto"/>
        <w:ind w:firstLine="480" w:firstLineChars="200"/>
        <w:rPr>
          <w:rFonts w:ascii="宋体" w:hAnsi="宋体"/>
          <w:sz w:val="24"/>
        </w:rPr>
      </w:pPr>
      <w:r>
        <w:rPr>
          <w:rFonts w:hint="eastAsia" w:ascii="宋体" w:hAnsi="宋体"/>
          <w:sz w:val="24"/>
        </w:rPr>
        <w:t>3、若供应商对响应文件的错处作必要修改，则应在修改处加盖供应商公章或由</w:t>
      </w:r>
      <w:r>
        <w:rPr>
          <w:rFonts w:hint="eastAsia" w:ascii="宋体" w:hAnsi="宋体"/>
          <w:sz w:val="24"/>
          <w:szCs w:val="28"/>
        </w:rPr>
        <w:t>法定代表人</w:t>
      </w:r>
      <w:r>
        <w:rPr>
          <w:rFonts w:hint="eastAsia" w:ascii="宋体" w:hAnsi="宋体"/>
          <w:sz w:val="24"/>
        </w:rPr>
        <w:t>或</w:t>
      </w:r>
      <w:r>
        <w:rPr>
          <w:rFonts w:hint="eastAsia" w:ascii="宋体" w:hAnsi="宋体"/>
          <w:sz w:val="24"/>
          <w:szCs w:val="28"/>
        </w:rPr>
        <w:t>法定代表人</w:t>
      </w:r>
      <w:r>
        <w:rPr>
          <w:rFonts w:hint="eastAsia" w:ascii="宋体" w:hAnsi="宋体"/>
          <w:sz w:val="24"/>
        </w:rPr>
        <w:t>授权代表签字确认。</w:t>
      </w:r>
    </w:p>
    <w:p>
      <w:pPr>
        <w:snapToGrid w:val="0"/>
        <w:spacing w:line="360" w:lineRule="auto"/>
        <w:ind w:firstLine="470" w:firstLineChars="196"/>
        <w:jc w:val="left"/>
        <w:rPr>
          <w:rFonts w:ascii="宋体" w:hAnsi="宋体"/>
          <w:sz w:val="24"/>
        </w:rPr>
      </w:pPr>
      <w:r>
        <w:rPr>
          <w:rFonts w:hint="eastAsia" w:ascii="宋体" w:hAnsi="宋体"/>
          <w:sz w:val="24"/>
        </w:rPr>
        <w:t>4、电报、电话、传真形式的响应文件概不接受。</w:t>
      </w:r>
    </w:p>
    <w:p>
      <w:pPr>
        <w:snapToGrid w:val="0"/>
        <w:spacing w:line="360" w:lineRule="auto"/>
        <w:ind w:firstLine="470" w:firstLineChars="196"/>
        <w:jc w:val="left"/>
        <w:rPr>
          <w:rFonts w:ascii="宋体" w:hAnsi="宋体"/>
          <w:bCs/>
          <w:sz w:val="24"/>
        </w:rPr>
      </w:pPr>
      <w:r>
        <w:rPr>
          <w:rFonts w:hint="eastAsia" w:ascii="宋体" w:hAnsi="宋体"/>
          <w:bCs/>
          <w:sz w:val="24"/>
        </w:rPr>
        <w:t>（六）报价</w:t>
      </w:r>
    </w:p>
    <w:p>
      <w:pPr>
        <w:snapToGrid w:val="0"/>
        <w:spacing w:line="360" w:lineRule="auto"/>
        <w:ind w:firstLine="470" w:firstLineChars="196"/>
        <w:jc w:val="left"/>
        <w:rPr>
          <w:rFonts w:ascii="宋体" w:hAnsi="宋体"/>
          <w:sz w:val="24"/>
        </w:rPr>
      </w:pPr>
      <w:r>
        <w:rPr>
          <w:rFonts w:hint="eastAsia" w:ascii="宋体" w:hAnsi="宋体"/>
          <w:bCs/>
          <w:sz w:val="24"/>
        </w:rPr>
        <w:t>1、供应商应严格按照“响应文件格式”中“报价一览表”和“分项报价明细表”</w:t>
      </w:r>
      <w:r>
        <w:rPr>
          <w:rFonts w:hint="eastAsia" w:ascii="宋体" w:hAnsi="宋体"/>
          <w:sz w:val="24"/>
        </w:rPr>
        <w:t>的格式填写报价。</w:t>
      </w:r>
    </w:p>
    <w:p>
      <w:pPr>
        <w:snapToGrid w:val="0"/>
        <w:spacing w:line="360" w:lineRule="auto"/>
        <w:ind w:left="3" w:leftChars="1" w:firstLine="480" w:firstLineChars="200"/>
        <w:rPr>
          <w:rFonts w:ascii="宋体" w:hAnsi="宋体"/>
          <w:sz w:val="24"/>
        </w:rPr>
      </w:pPr>
      <w:r>
        <w:rPr>
          <w:rFonts w:hint="eastAsia" w:ascii="宋体" w:hAnsi="宋体"/>
          <w:sz w:val="24"/>
        </w:rPr>
        <w:t>2、供应商的报价为一次性报价，即在响应文件有效期内报价固定不变。</w:t>
      </w:r>
    </w:p>
    <w:p>
      <w:pPr>
        <w:snapToGrid w:val="0"/>
        <w:spacing w:line="360" w:lineRule="auto"/>
        <w:ind w:left="3" w:leftChars="1" w:firstLine="480" w:firstLineChars="200"/>
        <w:rPr>
          <w:rFonts w:ascii="宋体" w:hAnsi="宋体"/>
          <w:sz w:val="24"/>
        </w:rPr>
      </w:pPr>
      <w:r>
        <w:rPr>
          <w:rFonts w:hint="eastAsia" w:ascii="宋体" w:hAnsi="宋体"/>
          <w:sz w:val="24"/>
        </w:rPr>
        <w:t>3、本项目只接受一个报价，有选择的或有条件的报价将不予接受。</w:t>
      </w:r>
    </w:p>
    <w:p>
      <w:pPr>
        <w:pStyle w:val="31"/>
        <w:ind w:firstLine="480" w:firstLineChars="200"/>
        <w:rPr>
          <w:rFonts w:hAnsi="宋体"/>
          <w:sz w:val="24"/>
        </w:rPr>
      </w:pPr>
      <w:r>
        <w:rPr>
          <w:rFonts w:hint="eastAsia" w:hAnsi="宋体"/>
          <w:sz w:val="24"/>
        </w:rPr>
        <w:t>（七）修正错误</w:t>
      </w:r>
    </w:p>
    <w:p>
      <w:pPr>
        <w:pStyle w:val="31"/>
        <w:ind w:firstLine="480" w:firstLineChars="200"/>
        <w:rPr>
          <w:rFonts w:hAnsi="宋体"/>
          <w:sz w:val="24"/>
        </w:rPr>
      </w:pPr>
      <w:r>
        <w:rPr>
          <w:rFonts w:hint="eastAsia" w:hAnsi="宋体"/>
          <w:sz w:val="24"/>
        </w:rPr>
        <w:t>若响应文件出现计算或表达上的错误，修正错误的原则如下：</w:t>
      </w:r>
    </w:p>
    <w:p>
      <w:pPr>
        <w:snapToGrid w:val="0"/>
        <w:spacing w:line="360" w:lineRule="auto"/>
        <w:ind w:firstLine="480" w:firstLineChars="200"/>
        <w:rPr>
          <w:rFonts w:ascii="宋体" w:hAnsi="宋体"/>
          <w:sz w:val="24"/>
        </w:rPr>
      </w:pPr>
      <w:r>
        <w:rPr>
          <w:rFonts w:hint="eastAsia" w:ascii="宋体" w:hAnsi="宋体"/>
          <w:sz w:val="24"/>
        </w:rPr>
        <w:t>1、开标一览表总价与分项报价明细表汇总数不一致的，</w:t>
      </w:r>
      <w:r>
        <w:rPr>
          <w:rFonts w:hint="eastAsia" w:ascii="宋体" w:hAnsi="宋体" w:cs="Arial"/>
          <w:kern w:val="0"/>
          <w:sz w:val="24"/>
        </w:rPr>
        <w:t>以报价一览表为准；</w:t>
      </w:r>
    </w:p>
    <w:p>
      <w:pPr>
        <w:pStyle w:val="31"/>
        <w:ind w:firstLine="480" w:firstLineChars="200"/>
        <w:rPr>
          <w:rFonts w:hAnsi="宋体"/>
          <w:sz w:val="24"/>
        </w:rPr>
      </w:pPr>
      <w:r>
        <w:rPr>
          <w:rFonts w:hint="eastAsia" w:hAnsi="宋体"/>
          <w:sz w:val="24"/>
        </w:rPr>
        <w:t>2、大写金额和小写金额不一致的，以大写金额为准；</w:t>
      </w:r>
    </w:p>
    <w:p>
      <w:pPr>
        <w:pStyle w:val="31"/>
        <w:ind w:firstLine="480" w:firstLineChars="200"/>
        <w:rPr>
          <w:rFonts w:hAnsi="宋体"/>
          <w:sz w:val="24"/>
        </w:rPr>
      </w:pPr>
      <w:r>
        <w:rPr>
          <w:rFonts w:hint="eastAsia" w:hAnsi="宋体"/>
          <w:sz w:val="24"/>
        </w:rPr>
        <w:t>3、总价金额与按单价汇总金额不一致的，以单价金额计算结果为准；</w:t>
      </w:r>
    </w:p>
    <w:p>
      <w:pPr>
        <w:pStyle w:val="31"/>
        <w:ind w:firstLine="480" w:firstLineChars="200"/>
        <w:rPr>
          <w:rFonts w:hAnsi="宋体"/>
          <w:sz w:val="24"/>
        </w:rPr>
      </w:pPr>
      <w:r>
        <w:rPr>
          <w:rFonts w:hint="eastAsia" w:hAnsi="宋体"/>
          <w:sz w:val="24"/>
        </w:rPr>
        <w:t>4、单价金额小数点有明显错位的，应以总价为准，并修正单价；</w:t>
      </w:r>
    </w:p>
    <w:p>
      <w:pPr>
        <w:pStyle w:val="31"/>
        <w:ind w:firstLine="480" w:firstLineChars="200"/>
        <w:rPr>
          <w:rFonts w:hAnsi="宋体"/>
          <w:sz w:val="24"/>
        </w:rPr>
      </w:pPr>
      <w:r>
        <w:rPr>
          <w:rFonts w:hint="eastAsia" w:hAnsi="宋体"/>
          <w:sz w:val="24"/>
        </w:rPr>
        <w:t>5、对不同文字文本响应文件的解释发生异议的，以中文文本为准。</w:t>
      </w:r>
    </w:p>
    <w:p>
      <w:pPr>
        <w:pStyle w:val="31"/>
        <w:ind w:firstLine="480" w:firstLineChars="200"/>
        <w:rPr>
          <w:rFonts w:hAnsi="宋体"/>
          <w:sz w:val="24"/>
        </w:rPr>
      </w:pPr>
      <w:r>
        <w:rPr>
          <w:rFonts w:hint="eastAsia" w:hAnsi="宋体"/>
          <w:sz w:val="24"/>
        </w:rPr>
        <w:t>磋商小组按上述修正错误的原则及方法调整或修正供应商报价，供应商同意并签字确认后，调整后的报价对供应商具有约束作用。如果供应商不接受修正后的报价，则将其作为响应文件无效处理。</w:t>
      </w:r>
    </w:p>
    <w:p>
      <w:pPr>
        <w:pStyle w:val="31"/>
        <w:ind w:firstLine="480" w:firstLineChars="200"/>
        <w:rPr>
          <w:rFonts w:hAnsi="宋体"/>
          <w:sz w:val="24"/>
        </w:rPr>
      </w:pPr>
      <w:r>
        <w:rPr>
          <w:rFonts w:hint="eastAsia" w:hAnsi="宋体"/>
          <w:sz w:val="24"/>
        </w:rPr>
        <w:t>（八）响应文件的递交</w:t>
      </w:r>
    </w:p>
    <w:p>
      <w:pPr>
        <w:pStyle w:val="31"/>
        <w:ind w:firstLine="480" w:firstLineChars="200"/>
        <w:rPr>
          <w:rFonts w:hAnsi="宋体"/>
          <w:sz w:val="24"/>
        </w:rPr>
      </w:pPr>
      <w:r>
        <w:rPr>
          <w:rFonts w:hint="eastAsia" w:hAnsi="宋体"/>
          <w:sz w:val="24"/>
        </w:rPr>
        <w:t>1、响应文件的密封与标记</w:t>
      </w:r>
    </w:p>
    <w:p>
      <w:pPr>
        <w:pStyle w:val="31"/>
        <w:ind w:firstLine="480" w:firstLineChars="200"/>
        <w:rPr>
          <w:rFonts w:hAnsi="宋体"/>
          <w:sz w:val="24"/>
        </w:rPr>
      </w:pPr>
      <w:r>
        <w:rPr>
          <w:rFonts w:hint="eastAsia" w:hAnsi="宋体"/>
          <w:sz w:val="24"/>
        </w:rPr>
        <w:t>1.1响应文件的正本、副本均应密封送达磋商地点，应在封套上注明项目名称、供应商名称。若正本、副本分别进行密封的，还应在封套上注明“正本”、“副本”字样。</w:t>
      </w:r>
    </w:p>
    <w:p>
      <w:pPr>
        <w:pStyle w:val="31"/>
        <w:ind w:firstLine="480" w:firstLineChars="200"/>
        <w:rPr>
          <w:rFonts w:hAnsi="宋体"/>
          <w:sz w:val="24"/>
        </w:rPr>
      </w:pPr>
      <w:r>
        <w:rPr>
          <w:rFonts w:hint="eastAsia" w:hAnsi="宋体"/>
          <w:sz w:val="24"/>
        </w:rPr>
        <w:t>1.2封套的封口处应加盖供应商公章或由法定代表人授权代表签字。</w:t>
      </w:r>
    </w:p>
    <w:p>
      <w:pPr>
        <w:pStyle w:val="31"/>
        <w:ind w:firstLine="480" w:firstLineChars="200"/>
        <w:rPr>
          <w:rFonts w:hAnsi="宋体"/>
          <w:sz w:val="24"/>
        </w:rPr>
      </w:pPr>
      <w:r>
        <w:rPr>
          <w:rFonts w:hint="eastAsia" w:hAnsi="宋体"/>
          <w:sz w:val="24"/>
        </w:rPr>
        <w:t>2、如果未按上述规定进行密封和标记，采购人对响应文件误投、丢失或提前拆封不负责任。</w:t>
      </w:r>
    </w:p>
    <w:p>
      <w:pPr>
        <w:pStyle w:val="3"/>
        <w:ind w:firstLine="482" w:firstLineChars="200"/>
        <w:rPr>
          <w:b/>
          <w:sz w:val="24"/>
        </w:rPr>
      </w:pPr>
      <w:bookmarkStart w:id="48" w:name="_Toc441065682"/>
      <w:bookmarkStart w:id="49" w:name="_Toc6707"/>
      <w:r>
        <w:rPr>
          <w:rFonts w:hint="eastAsia"/>
          <w:b/>
          <w:sz w:val="24"/>
        </w:rPr>
        <w:t>四、</w:t>
      </w:r>
      <w:bookmarkEnd w:id="48"/>
      <w:r>
        <w:rPr>
          <w:rFonts w:hint="eastAsia"/>
          <w:b/>
          <w:sz w:val="24"/>
        </w:rPr>
        <w:t>竞争性磋商程序</w:t>
      </w:r>
      <w:bookmarkEnd w:id="49"/>
    </w:p>
    <w:p>
      <w:pPr>
        <w:spacing w:line="360" w:lineRule="auto"/>
        <w:ind w:firstLine="480" w:firstLineChars="200"/>
        <w:rPr>
          <w:rFonts w:ascii="宋体" w:hAnsi="宋体"/>
          <w:sz w:val="24"/>
        </w:rPr>
      </w:pPr>
      <w:r>
        <w:rPr>
          <w:rFonts w:hint="eastAsia" w:ascii="宋体" w:hAnsi="宋体"/>
          <w:sz w:val="24"/>
        </w:rPr>
        <w:t>（一）磋商应当在磋商文件中“竞争性磋商邀请书”确定的时间和地点公开进行。</w:t>
      </w:r>
    </w:p>
    <w:p>
      <w:pPr>
        <w:spacing w:line="360" w:lineRule="auto"/>
        <w:ind w:firstLine="480" w:firstLineChars="200"/>
        <w:rPr>
          <w:rFonts w:ascii="宋体" w:hAnsi="宋体"/>
          <w:sz w:val="24"/>
        </w:rPr>
      </w:pPr>
      <w:r>
        <w:rPr>
          <w:rFonts w:hint="eastAsia" w:ascii="宋体" w:hAnsi="宋体"/>
          <w:sz w:val="24"/>
        </w:rPr>
        <w:t>（二）磋商评审活动邀请采购人、财政部门和有关监督部门代表参加，财政部门和有关监督部门可视情况派员现场监督。</w:t>
      </w:r>
    </w:p>
    <w:p>
      <w:pPr>
        <w:spacing w:line="360" w:lineRule="auto"/>
        <w:ind w:firstLine="480" w:firstLineChars="200"/>
        <w:rPr>
          <w:rFonts w:ascii="宋体" w:hAnsi="宋体"/>
          <w:sz w:val="24"/>
        </w:rPr>
      </w:pPr>
      <w:r>
        <w:rPr>
          <w:rFonts w:hint="eastAsia" w:ascii="宋体" w:hAnsi="宋体"/>
          <w:sz w:val="24"/>
        </w:rPr>
        <w:t>（三）按磋商文件规定的响应文件提交截止时间内，供应商法定代表人或授权代表签到并提交响应文件，磋商保证金。</w:t>
      </w:r>
    </w:p>
    <w:p>
      <w:pPr>
        <w:spacing w:line="360" w:lineRule="auto"/>
        <w:ind w:firstLine="480" w:firstLineChars="200"/>
        <w:rPr>
          <w:rFonts w:ascii="宋体" w:hAnsi="宋体"/>
          <w:sz w:val="24"/>
        </w:rPr>
      </w:pPr>
      <w:r>
        <w:rPr>
          <w:rFonts w:hint="eastAsia" w:ascii="宋体" w:hAnsi="宋体"/>
          <w:sz w:val="24"/>
        </w:rPr>
        <w:t>（四）磋商评审前，由供应商或者其推选的授权代表检查响应文件的密封情况，经确认密封完好的响应文件，由采购人工作人员当众拆封。</w:t>
      </w:r>
    </w:p>
    <w:p>
      <w:pPr>
        <w:spacing w:line="360" w:lineRule="auto"/>
        <w:ind w:firstLine="480" w:firstLineChars="200"/>
        <w:rPr>
          <w:rFonts w:ascii="宋体" w:hAnsi="宋体"/>
          <w:sz w:val="24"/>
        </w:rPr>
      </w:pPr>
      <w:r>
        <w:rPr>
          <w:rFonts w:hint="eastAsia" w:ascii="宋体" w:hAnsi="宋体"/>
          <w:sz w:val="24"/>
        </w:rPr>
        <w:t>（五）响应文件转入评标室由磋商小组评审。</w:t>
      </w:r>
    </w:p>
    <w:p>
      <w:pPr>
        <w:spacing w:line="360" w:lineRule="auto"/>
        <w:ind w:firstLine="480" w:firstLineChars="200"/>
        <w:rPr>
          <w:rFonts w:ascii="宋体" w:hAnsi="宋体"/>
          <w:sz w:val="24"/>
        </w:rPr>
      </w:pPr>
      <w:r>
        <w:rPr>
          <w:rFonts w:hint="eastAsia" w:ascii="宋体" w:hAnsi="宋体"/>
          <w:sz w:val="24"/>
        </w:rPr>
        <w:t>（九）磋商小组对响应文件进行资格性和符合性审查。</w:t>
      </w:r>
    </w:p>
    <w:p>
      <w:pPr>
        <w:spacing w:line="360" w:lineRule="auto"/>
        <w:ind w:firstLine="480" w:firstLineChars="200"/>
        <w:rPr>
          <w:rFonts w:ascii="宋体" w:hAnsi="宋体"/>
          <w:sz w:val="24"/>
        </w:rPr>
      </w:pPr>
      <w:r>
        <w:rPr>
          <w:rFonts w:hint="eastAsia" w:ascii="宋体" w:hAnsi="宋体"/>
          <w:sz w:val="24"/>
        </w:rPr>
        <w:t>（十）</w:t>
      </w:r>
      <w:r>
        <w:rPr>
          <w:rFonts w:hint="eastAsia" w:ascii="宋体" w:hAnsi="宋体"/>
          <w:b/>
          <w:sz w:val="24"/>
          <w:szCs w:val="24"/>
        </w:rPr>
        <w:t>竞争性磋商以签到的顺序作为磋商顺序</w:t>
      </w:r>
      <w:r>
        <w:rPr>
          <w:rFonts w:hint="eastAsia" w:ascii="宋体" w:hAnsi="宋体"/>
          <w:sz w:val="24"/>
          <w:szCs w:val="24"/>
        </w:rPr>
        <w:t>，</w:t>
      </w:r>
      <w:r>
        <w:rPr>
          <w:rFonts w:hint="eastAsia" w:ascii="宋体" w:hAnsi="宋体"/>
          <w:sz w:val="24"/>
        </w:rPr>
        <w:t>磋商小组</w:t>
      </w:r>
      <w:r>
        <w:rPr>
          <w:rFonts w:hint="eastAsia" w:ascii="宋体" w:hAnsi="宋体" w:cs="方正仿宋_GBK"/>
          <w:sz w:val="24"/>
          <w:szCs w:val="24"/>
        </w:rPr>
        <w:t>分别与各供应商进行磋商，供应商入场参与磋商的人员不得超过2人，其中包含法定代表人授权代表和项目负责人（可为同一人）。若有实质性变动，供应商应作出相应承诺或重新提交响应文件（具体见</w:t>
      </w:r>
      <w:r>
        <w:rPr>
          <w:rFonts w:hint="eastAsia" w:ascii="宋体" w:hAnsi="宋体"/>
          <w:sz w:val="24"/>
        </w:rPr>
        <w:t>第三篇“评审程序”内容）</w:t>
      </w:r>
      <w:r>
        <w:rPr>
          <w:rFonts w:hint="eastAsia" w:ascii="宋体" w:hAnsi="宋体" w:cs="方正仿宋_GBK"/>
          <w:sz w:val="24"/>
          <w:szCs w:val="24"/>
        </w:rPr>
        <w:t>。</w:t>
      </w:r>
    </w:p>
    <w:p>
      <w:pPr>
        <w:spacing w:line="360" w:lineRule="auto"/>
        <w:ind w:firstLine="480" w:firstLineChars="200"/>
        <w:rPr>
          <w:rFonts w:ascii="宋体" w:hAnsi="宋体"/>
          <w:sz w:val="24"/>
        </w:rPr>
      </w:pPr>
      <w:r>
        <w:rPr>
          <w:rFonts w:hint="eastAsia" w:ascii="宋体" w:hAnsi="宋体"/>
          <w:sz w:val="24"/>
        </w:rPr>
        <w:t>（十一）供应商按磋商情况，提交最后报价。最后报价应统一填写，同时提交，并由主持人当众宣读合格供应商的最后报价。</w:t>
      </w:r>
      <w:r>
        <w:rPr>
          <w:rFonts w:hint="eastAsia" w:ascii="宋体" w:hAnsi="宋体"/>
          <w:b/>
          <w:bCs/>
          <w:sz w:val="24"/>
          <w:szCs w:val="24"/>
        </w:rPr>
        <w:t>原则上最终报价不得高于原报价，超出规定时间没有提交最终报价或最终报价高于原报价的或最终报价有歧义的，视为供应商放弃最终报价，以其原报价为准。最终报价如只报总价，则最终单项报价以最终总报价与第一轮总报价之比同比例下浮（下浮比例的计算保留到小数点后两位）。</w:t>
      </w:r>
    </w:p>
    <w:p>
      <w:pPr>
        <w:pStyle w:val="31"/>
        <w:ind w:firstLine="480" w:firstLineChars="200"/>
        <w:rPr>
          <w:rFonts w:hAnsi="宋体"/>
          <w:sz w:val="24"/>
        </w:rPr>
      </w:pPr>
      <w:r>
        <w:rPr>
          <w:rFonts w:hint="eastAsia" w:hAnsi="宋体"/>
          <w:sz w:val="24"/>
        </w:rPr>
        <w:t>（十二）磋商小组采用综合评分法对提交最后报价的供应商的响应文件和最后报价进行综合评分。</w:t>
      </w:r>
    </w:p>
    <w:p>
      <w:pPr>
        <w:pStyle w:val="3"/>
        <w:ind w:firstLine="482" w:firstLineChars="200"/>
        <w:rPr>
          <w:b/>
          <w:sz w:val="24"/>
        </w:rPr>
      </w:pPr>
      <w:bookmarkStart w:id="50" w:name="_Toc441065684"/>
      <w:bookmarkStart w:id="51" w:name="_Toc2559"/>
      <w:r>
        <w:rPr>
          <w:rFonts w:hint="eastAsia"/>
          <w:b/>
          <w:sz w:val="24"/>
        </w:rPr>
        <w:t>五、</w:t>
      </w:r>
      <w:bookmarkEnd w:id="50"/>
      <w:r>
        <w:rPr>
          <w:rFonts w:hint="eastAsia"/>
          <w:b/>
          <w:sz w:val="24"/>
        </w:rPr>
        <w:t>确定成交供应商</w:t>
      </w:r>
      <w:bookmarkEnd w:id="51"/>
    </w:p>
    <w:p>
      <w:pPr>
        <w:snapToGrid w:val="0"/>
        <w:spacing w:line="360" w:lineRule="auto"/>
        <w:ind w:firstLine="480" w:firstLineChars="200"/>
        <w:rPr>
          <w:rFonts w:ascii="宋体" w:hAnsi="宋体"/>
          <w:sz w:val="24"/>
        </w:rPr>
      </w:pPr>
      <w:r>
        <w:rPr>
          <w:rFonts w:hint="eastAsia" w:ascii="宋体" w:hAnsi="宋体"/>
          <w:sz w:val="24"/>
        </w:rPr>
        <w:t>（一）成交原则</w:t>
      </w:r>
    </w:p>
    <w:p>
      <w:pPr>
        <w:snapToGrid w:val="0"/>
        <w:spacing w:line="360" w:lineRule="auto"/>
        <w:ind w:firstLine="480" w:firstLineChars="200"/>
        <w:rPr>
          <w:rFonts w:ascii="宋体" w:hAnsi="宋体"/>
          <w:sz w:val="24"/>
        </w:rPr>
      </w:pPr>
      <w:r>
        <w:rPr>
          <w:rFonts w:hint="eastAsia" w:ascii="宋体" w:hAnsi="宋体"/>
          <w:sz w:val="24"/>
        </w:rPr>
        <w:t>采购人或其授权的磋商小组应按照评审报告中推荐的成交候选人排名顺序确定成交供应商。</w:t>
      </w:r>
    </w:p>
    <w:p>
      <w:pPr>
        <w:pStyle w:val="31"/>
        <w:numPr>
          <w:ilvl w:val="0"/>
          <w:numId w:val="20"/>
        </w:numPr>
        <w:ind w:firstLine="480" w:firstLineChars="200"/>
        <w:rPr>
          <w:rFonts w:hAnsi="宋体"/>
          <w:sz w:val="24"/>
        </w:rPr>
      </w:pPr>
      <w:r>
        <w:rPr>
          <w:rFonts w:hint="eastAsia" w:hAnsi="宋体"/>
          <w:sz w:val="24"/>
        </w:rPr>
        <w:t>确定程序</w:t>
      </w:r>
    </w:p>
    <w:p>
      <w:pPr>
        <w:pStyle w:val="31"/>
        <w:ind w:left="480"/>
        <w:rPr>
          <w:rFonts w:hAnsi="宋体"/>
          <w:b/>
          <w:sz w:val="24"/>
        </w:rPr>
      </w:pPr>
      <w:r>
        <w:rPr>
          <w:rFonts w:hint="eastAsia" w:hAnsi="宋体"/>
          <w:b/>
          <w:sz w:val="24"/>
        </w:rPr>
        <w:t>本项目</w:t>
      </w:r>
      <w:r>
        <w:rPr>
          <w:rFonts w:hint="eastAsia" w:hAnsi="宋体"/>
          <w:b/>
          <w:bCs/>
          <w:sz w:val="24"/>
        </w:rPr>
        <w:t>授权磋商小组直接确定成交供应商</w:t>
      </w:r>
    </w:p>
    <w:p>
      <w:pPr>
        <w:pStyle w:val="31"/>
        <w:ind w:firstLine="480" w:firstLineChars="200"/>
        <w:rPr>
          <w:rFonts w:hAnsi="宋体"/>
          <w:sz w:val="24"/>
        </w:rPr>
      </w:pPr>
      <w:r>
        <w:rPr>
          <w:rFonts w:hint="eastAsia" w:hAnsi="宋体"/>
          <w:sz w:val="24"/>
        </w:rPr>
        <w:t>1、评审工作结束，由采购人现场确认后，采购人在重庆市政府采购网和重庆市公共资源交易网（北碚区）对成交结果进行公告。</w:t>
      </w:r>
    </w:p>
    <w:p>
      <w:pPr>
        <w:pStyle w:val="31"/>
        <w:ind w:firstLine="480" w:firstLineChars="200"/>
        <w:rPr>
          <w:rFonts w:hAnsi="宋体"/>
          <w:sz w:val="24"/>
        </w:rPr>
      </w:pPr>
      <w:r>
        <w:rPr>
          <w:rFonts w:hint="eastAsia" w:hAnsi="宋体"/>
          <w:sz w:val="24"/>
        </w:rPr>
        <w:t>2、公告内容包括招标项目名称和项目编号，评标委员会成员名单，采购人和采购人名称、地址、联系方式，成交供应商的情况（包含成交供应商地址，成交价格，服务期或实施时间）。</w:t>
      </w:r>
    </w:p>
    <w:p>
      <w:pPr>
        <w:pStyle w:val="31"/>
        <w:ind w:firstLine="480" w:firstLineChars="200"/>
        <w:rPr>
          <w:rFonts w:hAnsi="宋体"/>
          <w:sz w:val="24"/>
        </w:rPr>
      </w:pPr>
      <w:r>
        <w:rPr>
          <w:rFonts w:hint="eastAsia" w:hAnsi="宋体"/>
          <w:sz w:val="24"/>
        </w:rPr>
        <w:t>3、如有供应商对评标结果提出质疑的，在质疑处理完毕后发出中标通知书。</w:t>
      </w:r>
    </w:p>
    <w:p>
      <w:pPr>
        <w:pStyle w:val="31"/>
        <w:ind w:firstLine="480" w:firstLineChars="200"/>
        <w:rPr>
          <w:rFonts w:hAnsi="宋体"/>
          <w:sz w:val="24"/>
        </w:rPr>
      </w:pPr>
      <w:r>
        <w:rPr>
          <w:rFonts w:hint="eastAsia" w:hAnsi="宋体"/>
          <w:sz w:val="24"/>
        </w:rPr>
        <w:t>4、成交供应商变更</w:t>
      </w:r>
    </w:p>
    <w:p>
      <w:pPr>
        <w:pStyle w:val="31"/>
        <w:ind w:firstLine="480" w:firstLineChars="200"/>
        <w:rPr>
          <w:rFonts w:hAnsi="宋体"/>
          <w:sz w:val="24"/>
        </w:rPr>
      </w:pPr>
      <w:r>
        <w:rPr>
          <w:rFonts w:hint="eastAsia" w:hAnsi="宋体"/>
          <w:sz w:val="24"/>
        </w:rPr>
        <w:t>4.1成交供应商拒绝与采购人签订合同的，采购人可以按照评审报告推荐的中标候选人名单排序，确定下一候选人为成交供应商，也可以重新开展政府采购活动。</w:t>
      </w:r>
    </w:p>
    <w:p>
      <w:pPr>
        <w:snapToGrid w:val="0"/>
        <w:spacing w:line="360" w:lineRule="auto"/>
        <w:ind w:firstLine="480" w:firstLineChars="200"/>
        <w:rPr>
          <w:rFonts w:ascii="宋体" w:hAnsi="宋体"/>
          <w:sz w:val="24"/>
        </w:rPr>
      </w:pPr>
      <w:r>
        <w:rPr>
          <w:rFonts w:hint="eastAsia" w:ascii="宋体" w:hAnsi="宋体"/>
          <w:sz w:val="24"/>
        </w:rPr>
        <w:t>4.2成交供应商无充分理由放弃的，采购人将会同采购代理机构把相关情况报财政部门，财政部门将根据相关规定对违规供应商进行处罚。</w:t>
      </w:r>
    </w:p>
    <w:p>
      <w:pPr>
        <w:pStyle w:val="3"/>
        <w:ind w:firstLine="482" w:firstLineChars="200"/>
        <w:rPr>
          <w:b/>
          <w:sz w:val="24"/>
        </w:rPr>
      </w:pPr>
      <w:bookmarkStart w:id="52" w:name="_Toc441065685"/>
      <w:bookmarkStart w:id="53" w:name="_Toc18239"/>
      <w:r>
        <w:rPr>
          <w:rFonts w:hint="eastAsia"/>
          <w:b/>
          <w:sz w:val="24"/>
        </w:rPr>
        <w:t>六、成交通知书</w:t>
      </w:r>
      <w:bookmarkEnd w:id="52"/>
      <w:bookmarkEnd w:id="53"/>
    </w:p>
    <w:p>
      <w:pPr>
        <w:spacing w:line="360" w:lineRule="auto"/>
        <w:ind w:firstLine="566" w:firstLineChars="236"/>
        <w:rPr>
          <w:rFonts w:ascii="宋体" w:hAnsi="宋体"/>
          <w:sz w:val="24"/>
        </w:rPr>
      </w:pPr>
      <w:r>
        <w:rPr>
          <w:rFonts w:hint="eastAsia" w:ascii="宋体" w:hAnsi="宋体"/>
          <w:sz w:val="24"/>
        </w:rPr>
        <w:t>本项目不发成交通知书，公示期结束后无异议时，采购人直接通知拟中标人。</w:t>
      </w:r>
    </w:p>
    <w:p>
      <w:pPr>
        <w:pStyle w:val="3"/>
        <w:ind w:firstLine="482" w:firstLineChars="200"/>
        <w:rPr>
          <w:b/>
          <w:sz w:val="24"/>
        </w:rPr>
      </w:pPr>
      <w:bookmarkStart w:id="54" w:name="_Toc441065686"/>
      <w:bookmarkStart w:id="55" w:name="_Toc5058"/>
      <w:r>
        <w:rPr>
          <w:rFonts w:hint="eastAsia"/>
          <w:b/>
          <w:sz w:val="24"/>
        </w:rPr>
        <w:t>七、关于质疑和投诉</w:t>
      </w:r>
      <w:bookmarkEnd w:id="54"/>
      <w:bookmarkEnd w:id="55"/>
    </w:p>
    <w:p>
      <w:pPr>
        <w:spacing w:line="360" w:lineRule="auto"/>
        <w:ind w:right="12" w:firstLine="480"/>
        <w:rPr>
          <w:rFonts w:ascii="宋体" w:hAnsi="宋体"/>
          <w:sz w:val="24"/>
        </w:rPr>
      </w:pPr>
      <w:r>
        <w:rPr>
          <w:rFonts w:hint="eastAsia" w:ascii="宋体" w:hAnsi="宋体"/>
          <w:sz w:val="24"/>
        </w:rPr>
        <w:t>（一）质疑内容、时限</w:t>
      </w:r>
    </w:p>
    <w:p>
      <w:pPr>
        <w:spacing w:line="360" w:lineRule="auto"/>
        <w:ind w:right="12" w:firstLine="480"/>
        <w:rPr>
          <w:rFonts w:ascii="宋体" w:hAnsi="宋体"/>
          <w:sz w:val="24"/>
        </w:rPr>
      </w:pPr>
      <w:r>
        <w:rPr>
          <w:rFonts w:hint="eastAsia" w:ascii="宋体" w:hAnsi="宋体"/>
          <w:sz w:val="24"/>
        </w:rPr>
        <w:t>1、供应商对成交结果有异议的，应当在成交结果发布之日起七个工作日内以书面形式向采购人提出质疑，并附相关证明材料。</w:t>
      </w:r>
    </w:p>
    <w:p>
      <w:pPr>
        <w:spacing w:line="360" w:lineRule="auto"/>
        <w:ind w:right="12" w:firstLine="480"/>
        <w:rPr>
          <w:rFonts w:ascii="宋体" w:hAnsi="宋体"/>
          <w:sz w:val="24"/>
        </w:rPr>
      </w:pPr>
      <w:r>
        <w:rPr>
          <w:rFonts w:hint="eastAsia" w:ascii="宋体" w:hAnsi="宋体"/>
          <w:sz w:val="24"/>
        </w:rPr>
        <w:t>2、供应商对采购文件中供应商特定资格条件、技术质量和商务要求、评审标准及评审细则有异议的，应向采购人提出质疑。</w:t>
      </w:r>
    </w:p>
    <w:p>
      <w:pPr>
        <w:spacing w:line="360" w:lineRule="auto"/>
        <w:ind w:right="12" w:firstLine="480"/>
        <w:rPr>
          <w:rFonts w:ascii="宋体" w:hAnsi="宋体"/>
          <w:sz w:val="24"/>
        </w:rPr>
      </w:pPr>
      <w:r>
        <w:rPr>
          <w:rFonts w:hint="eastAsia" w:ascii="宋体" w:hAnsi="宋体"/>
          <w:sz w:val="24"/>
        </w:rPr>
        <w:t>（二）质疑答复时限</w:t>
      </w:r>
    </w:p>
    <w:p>
      <w:pPr>
        <w:spacing w:line="360" w:lineRule="auto"/>
        <w:ind w:right="12" w:firstLine="480"/>
        <w:rPr>
          <w:rFonts w:ascii="宋体" w:hAnsi="宋体"/>
          <w:sz w:val="24"/>
        </w:rPr>
      </w:pPr>
      <w:r>
        <w:rPr>
          <w:rFonts w:hint="eastAsia" w:ascii="宋体" w:hAnsi="宋体"/>
          <w:sz w:val="24"/>
        </w:rPr>
        <w:t>采购人在收到供应商书面质疑后七个工作日内，对质疑内容作出答复。</w:t>
      </w:r>
    </w:p>
    <w:p>
      <w:pPr>
        <w:spacing w:line="360" w:lineRule="auto"/>
        <w:ind w:right="12" w:firstLine="480"/>
        <w:rPr>
          <w:rFonts w:ascii="宋体" w:hAnsi="宋体"/>
          <w:sz w:val="24"/>
        </w:rPr>
      </w:pPr>
      <w:r>
        <w:rPr>
          <w:rFonts w:hint="eastAsia" w:ascii="宋体" w:hAnsi="宋体"/>
          <w:sz w:val="24"/>
        </w:rPr>
        <w:t>（三）不予受理或暂缓受理</w:t>
      </w:r>
    </w:p>
    <w:p>
      <w:pPr>
        <w:spacing w:line="360" w:lineRule="auto"/>
        <w:ind w:right="12" w:firstLine="480"/>
        <w:rPr>
          <w:rFonts w:ascii="宋体" w:hAnsi="宋体"/>
          <w:sz w:val="24"/>
        </w:rPr>
      </w:pPr>
      <w:r>
        <w:rPr>
          <w:rFonts w:hint="eastAsia" w:ascii="宋体" w:hAnsi="宋体"/>
          <w:sz w:val="24"/>
        </w:rPr>
        <w:t>1、质疑有下列情形之一的，不予受理：</w:t>
      </w:r>
    </w:p>
    <w:p>
      <w:pPr>
        <w:spacing w:line="360" w:lineRule="auto"/>
        <w:ind w:right="12" w:firstLine="480"/>
        <w:rPr>
          <w:rFonts w:ascii="宋体" w:hAnsi="宋体"/>
          <w:sz w:val="24"/>
        </w:rPr>
      </w:pPr>
      <w:r>
        <w:rPr>
          <w:rFonts w:hint="eastAsia" w:ascii="宋体" w:hAnsi="宋体"/>
          <w:sz w:val="24"/>
        </w:rPr>
        <w:t>1.1质疑供应商参与了磋商活动后，再对磋商文件内容提出质疑的；</w:t>
      </w:r>
    </w:p>
    <w:p>
      <w:pPr>
        <w:spacing w:line="360" w:lineRule="auto"/>
        <w:ind w:right="12" w:firstLine="480"/>
        <w:rPr>
          <w:rFonts w:ascii="宋体" w:hAnsi="宋体"/>
          <w:sz w:val="24"/>
        </w:rPr>
      </w:pPr>
      <w:r>
        <w:rPr>
          <w:rFonts w:hint="eastAsia" w:ascii="宋体" w:hAnsi="宋体"/>
          <w:sz w:val="24"/>
        </w:rPr>
        <w:t>1.2质疑超过有效期的；</w:t>
      </w:r>
    </w:p>
    <w:p>
      <w:pPr>
        <w:spacing w:line="360" w:lineRule="auto"/>
        <w:ind w:right="12" w:firstLine="480"/>
        <w:rPr>
          <w:rFonts w:ascii="宋体" w:hAnsi="宋体"/>
          <w:sz w:val="24"/>
        </w:rPr>
      </w:pPr>
      <w:r>
        <w:rPr>
          <w:rFonts w:hint="eastAsia" w:ascii="宋体" w:hAnsi="宋体"/>
          <w:sz w:val="24"/>
        </w:rPr>
        <w:t>1.3对同一事项重复质疑的。</w:t>
      </w:r>
    </w:p>
    <w:p>
      <w:pPr>
        <w:spacing w:line="360" w:lineRule="auto"/>
        <w:ind w:right="12" w:firstLine="480"/>
        <w:rPr>
          <w:rFonts w:ascii="宋体" w:hAnsi="宋体"/>
          <w:sz w:val="24"/>
        </w:rPr>
      </w:pPr>
      <w:r>
        <w:rPr>
          <w:rFonts w:hint="eastAsia" w:ascii="宋体" w:hAnsi="宋体"/>
          <w:sz w:val="24"/>
        </w:rPr>
        <w:t>2、质疑有下列情形之一的，应暂不受理并告知供应商补充材料。供应商及时补充材料的，应予受理；逾期未补充的，不予受理：</w:t>
      </w:r>
    </w:p>
    <w:p>
      <w:pPr>
        <w:spacing w:line="360" w:lineRule="auto"/>
        <w:ind w:right="12" w:firstLine="480"/>
        <w:rPr>
          <w:rFonts w:ascii="宋体" w:hAnsi="宋体"/>
          <w:sz w:val="24"/>
        </w:rPr>
      </w:pPr>
      <w:r>
        <w:rPr>
          <w:rFonts w:hint="eastAsia" w:ascii="宋体" w:hAnsi="宋体"/>
          <w:sz w:val="24"/>
        </w:rPr>
        <w:t>2.1质疑书格式和内容不符合国家或重庆市相关规定的；</w:t>
      </w:r>
    </w:p>
    <w:p>
      <w:pPr>
        <w:spacing w:line="360" w:lineRule="auto"/>
        <w:ind w:right="12" w:firstLine="480"/>
        <w:rPr>
          <w:rFonts w:ascii="宋体" w:hAnsi="宋体"/>
          <w:sz w:val="24"/>
        </w:rPr>
      </w:pPr>
      <w:r>
        <w:rPr>
          <w:rFonts w:hint="eastAsia" w:ascii="宋体" w:hAnsi="宋体"/>
          <w:sz w:val="24"/>
        </w:rPr>
        <w:t>2.2质疑书提供的依据或证明材料不全的；</w:t>
      </w:r>
    </w:p>
    <w:p>
      <w:pPr>
        <w:spacing w:line="360" w:lineRule="auto"/>
        <w:ind w:right="12" w:firstLine="480"/>
        <w:rPr>
          <w:rFonts w:ascii="宋体" w:hAnsi="宋体"/>
          <w:sz w:val="24"/>
        </w:rPr>
      </w:pPr>
      <w:r>
        <w:rPr>
          <w:rFonts w:hint="eastAsia" w:ascii="宋体" w:hAnsi="宋体"/>
          <w:sz w:val="24"/>
        </w:rPr>
        <w:t>2.3质疑书副本数量不足的。</w:t>
      </w:r>
    </w:p>
    <w:p>
      <w:pPr>
        <w:spacing w:line="360" w:lineRule="auto"/>
        <w:ind w:right="12" w:firstLine="480"/>
        <w:rPr>
          <w:rFonts w:ascii="宋体" w:hAnsi="宋体"/>
          <w:sz w:val="24"/>
        </w:rPr>
      </w:pPr>
      <w:r>
        <w:rPr>
          <w:rFonts w:hint="eastAsia" w:ascii="宋体" w:hAnsi="宋体"/>
          <w:sz w:val="24"/>
        </w:rPr>
        <w:t>（四）投诉</w:t>
      </w:r>
    </w:p>
    <w:p>
      <w:pPr>
        <w:spacing w:line="360" w:lineRule="auto"/>
        <w:ind w:right="12" w:firstLine="480"/>
        <w:rPr>
          <w:rFonts w:ascii="宋体" w:hAnsi="宋体"/>
          <w:sz w:val="24"/>
        </w:rPr>
      </w:pPr>
      <w:r>
        <w:rPr>
          <w:rFonts w:hint="eastAsia" w:ascii="宋体" w:hAnsi="宋体"/>
          <w:sz w:val="24"/>
        </w:rPr>
        <w:t>1、供应商对采购人的答复不满意，或者采购人未在规定时间内答复的，可在答复期满后十五个工作日内按有关规定，向同级财政部门投诉。</w:t>
      </w:r>
    </w:p>
    <w:p>
      <w:pPr>
        <w:spacing w:line="360" w:lineRule="auto"/>
        <w:ind w:right="12" w:firstLine="480"/>
        <w:rPr>
          <w:rFonts w:ascii="宋体" w:hAnsi="宋体"/>
          <w:sz w:val="24"/>
        </w:rPr>
      </w:pPr>
      <w:r>
        <w:rPr>
          <w:rFonts w:hint="eastAsia" w:ascii="宋体" w:hAnsi="宋体"/>
          <w:sz w:val="24"/>
        </w:rPr>
        <w:t>2、在提出投诉时，应附送相关证明材料。投诉书及证明材料为外文的，应同时提供其中文译本；中文与外文意思不一致的，以中文为准。</w:t>
      </w:r>
    </w:p>
    <w:p>
      <w:pPr>
        <w:snapToGrid w:val="0"/>
        <w:spacing w:line="360" w:lineRule="auto"/>
        <w:ind w:firstLine="480" w:firstLineChars="200"/>
        <w:rPr>
          <w:rFonts w:ascii="宋体" w:hAnsi="宋体"/>
          <w:sz w:val="24"/>
        </w:rPr>
      </w:pPr>
      <w:r>
        <w:rPr>
          <w:rFonts w:hint="eastAsia" w:ascii="宋体" w:hAnsi="宋体"/>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3"/>
        <w:ind w:firstLine="482" w:firstLineChars="200"/>
        <w:rPr>
          <w:b/>
          <w:sz w:val="24"/>
        </w:rPr>
      </w:pPr>
      <w:bookmarkStart w:id="56" w:name="_Toc441065689"/>
      <w:bookmarkStart w:id="57" w:name="_Toc25316"/>
      <w:r>
        <w:rPr>
          <w:rFonts w:hint="eastAsia"/>
          <w:b/>
          <w:sz w:val="24"/>
        </w:rPr>
        <w:t>八、签订合同</w:t>
      </w:r>
      <w:bookmarkEnd w:id="56"/>
      <w:bookmarkEnd w:id="57"/>
    </w:p>
    <w:p>
      <w:pPr>
        <w:spacing w:line="360" w:lineRule="auto"/>
        <w:ind w:firstLine="480" w:firstLineChars="200"/>
        <w:rPr>
          <w:rFonts w:ascii="宋体" w:hAnsi="宋体"/>
          <w:sz w:val="24"/>
        </w:rPr>
      </w:pPr>
      <w:r>
        <w:rPr>
          <w:rFonts w:hint="eastAsia" w:ascii="宋体" w:hAnsi="宋体"/>
          <w:sz w:val="24"/>
        </w:rPr>
        <w:t>（一）采购人应当自成采购结果公示期结束之日起三十日内，按照磋商文件和成交供应商响应文件的约定，与成交供应商签订书面合同。所签订的合同不得对磋商文件和成交供应商响应文件作实质性修改。</w:t>
      </w:r>
    </w:p>
    <w:p>
      <w:pPr>
        <w:spacing w:line="360" w:lineRule="auto"/>
        <w:ind w:firstLine="480" w:firstLineChars="200"/>
        <w:rPr>
          <w:rFonts w:ascii="宋体" w:hAnsi="宋体"/>
          <w:sz w:val="24"/>
        </w:rPr>
      </w:pPr>
      <w:r>
        <w:rPr>
          <w:rFonts w:hint="eastAsia" w:ascii="宋体" w:hAnsi="宋体"/>
          <w:sz w:val="24"/>
        </w:rPr>
        <w:t>（二）磋商文件、成交供应商的响应文件及澄清文件等，均为签订采购合同的依据。</w:t>
      </w:r>
    </w:p>
    <w:p>
      <w:pPr>
        <w:spacing w:line="360" w:lineRule="auto"/>
        <w:ind w:firstLine="480" w:firstLineChars="200"/>
        <w:rPr>
          <w:rFonts w:ascii="宋体" w:hAnsi="宋体"/>
          <w:sz w:val="24"/>
        </w:rPr>
      </w:pPr>
      <w:r>
        <w:rPr>
          <w:rFonts w:hint="eastAsia" w:ascii="宋体" w:hAnsi="宋体"/>
          <w:sz w:val="24"/>
        </w:rPr>
        <w:t>（三）合同生效条款由供需双方约定，法律、行政法规规定应当办理批准、登记等手续后生效的合同，依照其规定。</w:t>
      </w:r>
    </w:p>
    <w:p>
      <w:pPr>
        <w:spacing w:line="360" w:lineRule="auto"/>
        <w:ind w:firstLine="480" w:firstLineChars="200"/>
        <w:rPr>
          <w:rFonts w:ascii="宋体" w:hAnsi="宋体"/>
          <w:sz w:val="24"/>
        </w:rPr>
      </w:pPr>
      <w:r>
        <w:rPr>
          <w:rFonts w:hint="eastAsia" w:ascii="宋体" w:hAnsi="宋体"/>
          <w:sz w:val="24"/>
        </w:rPr>
        <w:t>（四）合同应按照</w:t>
      </w:r>
      <w:r>
        <w:rPr>
          <w:rFonts w:hint="eastAsia" w:ascii="宋体" w:hAnsi="宋体"/>
          <w:b/>
          <w:bCs/>
          <w:sz w:val="24"/>
        </w:rPr>
        <w:t>本文件第五篇的内容签订、完善，未经采购人同意不得擅自更改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（五）</w:t>
      </w:r>
      <w:r>
        <w:rPr>
          <w:rFonts w:hint="eastAsia" w:ascii="宋体" w:hAnsi="宋体"/>
          <w:b/>
          <w:bCs/>
          <w:sz w:val="24"/>
        </w:rPr>
        <w:t>采购人要求成交供应商提供履约保证金的，在</w:t>
      </w:r>
      <w:r>
        <w:rPr>
          <w:rFonts w:hint="eastAsia" w:ascii="宋体" w:hAnsi="宋体"/>
          <w:b/>
          <w:bCs/>
          <w:sz w:val="24"/>
          <w:lang w:eastAsia="zh-CN"/>
        </w:rPr>
        <w:t>本</w:t>
      </w:r>
      <w:r>
        <w:rPr>
          <w:rFonts w:hint="eastAsia" w:ascii="宋体" w:hAnsi="宋体"/>
          <w:b/>
          <w:bCs/>
          <w:sz w:val="24"/>
        </w:rPr>
        <w:t>文件</w:t>
      </w:r>
      <w:r>
        <w:rPr>
          <w:rFonts w:hint="eastAsia" w:ascii="宋体" w:hAnsi="宋体"/>
          <w:b/>
          <w:bCs/>
          <w:sz w:val="24"/>
          <w:lang w:eastAsia="zh-CN"/>
        </w:rPr>
        <w:t>第二篇第二部分的付款方式中</w:t>
      </w:r>
      <w:r>
        <w:rPr>
          <w:rFonts w:hint="eastAsia" w:ascii="宋体" w:hAnsi="宋体"/>
          <w:b/>
          <w:bCs/>
          <w:sz w:val="24"/>
        </w:rPr>
        <w:t>约定</w:t>
      </w:r>
      <w:r>
        <w:rPr>
          <w:rFonts w:hint="eastAsia" w:ascii="宋体" w:hAnsi="宋体"/>
          <w:b/>
          <w:bCs/>
          <w:sz w:val="24"/>
          <w:lang w:eastAsia="zh-CN"/>
        </w:rPr>
        <w:t>金额及退还方式</w:t>
      </w:r>
      <w:r>
        <w:rPr>
          <w:rFonts w:hint="eastAsia" w:ascii="宋体" w:hAnsi="宋体"/>
          <w:sz w:val="24"/>
        </w:rPr>
        <w:t>。</w:t>
      </w:r>
    </w:p>
    <w:p>
      <w:pPr>
        <w:spacing w:line="360" w:lineRule="auto"/>
        <w:ind w:right="12" w:firstLine="480"/>
        <w:rPr>
          <w:rFonts w:ascii="宋体" w:hAnsi="宋体"/>
          <w:sz w:val="24"/>
        </w:rPr>
      </w:pPr>
    </w:p>
    <w:p>
      <w:pPr>
        <w:pStyle w:val="2"/>
        <w:spacing w:before="0" w:beforeLines="0" w:after="0" w:afterLines="0" w:line="360" w:lineRule="auto"/>
        <w:rPr>
          <w:rFonts w:ascii="宋体" w:hAnsi="宋体" w:eastAsia="宋体"/>
        </w:rPr>
      </w:pPr>
      <w:r>
        <w:rPr>
          <w:rFonts w:ascii="宋体" w:hAnsi="宋体" w:eastAsia="宋体"/>
        </w:rPr>
        <w:br w:type="page"/>
      </w:r>
      <w:bookmarkStart w:id="58" w:name="_Toc21292"/>
      <w:r>
        <w:rPr>
          <w:rFonts w:hint="eastAsia" w:ascii="宋体" w:hAnsi="宋体" w:eastAsia="宋体"/>
        </w:rPr>
        <w:t>第五篇  合同</w:t>
      </w:r>
      <w:bookmarkEnd w:id="58"/>
    </w:p>
    <w:p>
      <w:pPr>
        <w:spacing w:line="360" w:lineRule="auto"/>
        <w:rPr>
          <w:rFonts w:ascii="宋体" w:hAnsi="宋体"/>
          <w:sz w:val="24"/>
          <w:szCs w:val="24"/>
        </w:rPr>
      </w:pPr>
    </w:p>
    <w:p>
      <w:pPr>
        <w:spacing w:line="360" w:lineRule="auto"/>
        <w:jc w:val="center"/>
        <w:rPr>
          <w:rFonts w:ascii="宋体" w:hAnsi="宋体"/>
          <w:sz w:val="36"/>
          <w:szCs w:val="36"/>
        </w:rPr>
      </w:pPr>
      <w:r>
        <w:rPr>
          <w:rFonts w:hint="eastAsia" w:ascii="宋体" w:hAnsi="宋体"/>
          <w:sz w:val="36"/>
          <w:szCs w:val="36"/>
          <w:lang w:eastAsia="zh-CN"/>
        </w:rPr>
        <w:t>单病种系统</w:t>
      </w:r>
      <w:r>
        <w:rPr>
          <w:rFonts w:hint="eastAsia" w:ascii="宋体" w:hAnsi="宋体"/>
          <w:sz w:val="36"/>
          <w:szCs w:val="36"/>
        </w:rPr>
        <w:t>合同</w:t>
      </w:r>
    </w:p>
    <w:p>
      <w:pPr>
        <w:spacing w:line="360" w:lineRule="auto"/>
        <w:jc w:val="center"/>
        <w:rPr>
          <w:rFonts w:ascii="宋体" w:hAnsi="宋体"/>
          <w:sz w:val="36"/>
          <w:szCs w:val="36"/>
        </w:rPr>
      </w:pPr>
      <w:r>
        <w:rPr>
          <w:rFonts w:hint="eastAsia" w:ascii="宋体" w:hAnsi="宋体"/>
          <w:sz w:val="36"/>
          <w:szCs w:val="36"/>
        </w:rPr>
        <w:t>（</w:t>
      </w:r>
      <w:r>
        <w:rPr>
          <w:rFonts w:hint="eastAsia" w:ascii="宋体" w:hAnsi="宋体"/>
          <w:sz w:val="24"/>
          <w:szCs w:val="24"/>
          <w:lang w:eastAsia="zh-CN"/>
        </w:rPr>
        <w:t>项目</w:t>
      </w:r>
      <w:r>
        <w:rPr>
          <w:rFonts w:hint="eastAsia" w:ascii="宋体" w:hAnsi="宋体"/>
          <w:sz w:val="24"/>
          <w:szCs w:val="24"/>
        </w:rPr>
        <w:t>编号：202</w:t>
      </w:r>
      <w:r>
        <w:rPr>
          <w:rFonts w:hint="eastAsia" w:ascii="宋体" w:hAnsi="宋体"/>
          <w:sz w:val="24"/>
          <w:szCs w:val="24"/>
          <w:lang w:val="en-US" w:eastAsia="zh-CN"/>
        </w:rPr>
        <w:t>2</w:t>
      </w:r>
      <w:r>
        <w:rPr>
          <w:rFonts w:hint="eastAsia" w:ascii="宋体" w:hAnsi="宋体"/>
          <w:sz w:val="24"/>
          <w:szCs w:val="24"/>
        </w:rPr>
        <w:t>JYXX-</w:t>
      </w:r>
      <w:r>
        <w:rPr>
          <w:rFonts w:hint="eastAsia" w:ascii="宋体" w:hAnsi="宋体"/>
          <w:sz w:val="24"/>
          <w:szCs w:val="24"/>
          <w:lang w:val="en-US" w:eastAsia="zh-CN"/>
        </w:rPr>
        <w:t>10</w:t>
      </w:r>
      <w:r>
        <w:rPr>
          <w:rFonts w:hint="eastAsia" w:ascii="宋体" w:hAnsi="宋体"/>
          <w:sz w:val="36"/>
          <w:szCs w:val="36"/>
        </w:rPr>
        <w:t>）</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甲方：</w:t>
      </w:r>
      <w:r>
        <w:rPr>
          <w:rFonts w:hint="eastAsia" w:ascii="宋体" w:hAnsi="宋体"/>
          <w:sz w:val="24"/>
          <w:szCs w:val="24"/>
          <w:u w:val="single"/>
        </w:rPr>
        <w:t xml:space="preserve">  重庆市第九人民医院  </w:t>
      </w:r>
    </w:p>
    <w:p>
      <w:pPr>
        <w:spacing w:line="360" w:lineRule="auto"/>
        <w:rPr>
          <w:rFonts w:ascii="宋体" w:hAnsi="宋体"/>
          <w:sz w:val="24"/>
          <w:szCs w:val="24"/>
        </w:rPr>
      </w:pPr>
      <w:r>
        <w:rPr>
          <w:rFonts w:hint="eastAsia" w:ascii="宋体" w:hAnsi="宋体"/>
          <w:sz w:val="24"/>
          <w:szCs w:val="24"/>
        </w:rPr>
        <w:t>乙方：</w:t>
      </w:r>
      <w:r>
        <w:rPr>
          <w:rFonts w:hint="eastAsia" w:ascii="宋体" w:hAnsi="宋体"/>
          <w:sz w:val="24"/>
          <w:szCs w:val="24"/>
          <w:u w:val="single"/>
        </w:rPr>
        <w:t xml:space="preserve">                      </w:t>
      </w:r>
    </w:p>
    <w:p>
      <w:pPr>
        <w:spacing w:line="360" w:lineRule="auto"/>
        <w:rPr>
          <w:rFonts w:ascii="宋体" w:hAnsi="宋体"/>
          <w:sz w:val="24"/>
          <w:szCs w:val="24"/>
        </w:rPr>
      </w:pPr>
    </w:p>
    <w:p>
      <w:pPr>
        <w:spacing w:line="360" w:lineRule="auto"/>
        <w:ind w:firstLine="690"/>
        <w:rPr>
          <w:rFonts w:ascii="宋体" w:hAnsi="宋体"/>
          <w:sz w:val="24"/>
          <w:szCs w:val="24"/>
        </w:rPr>
      </w:pPr>
      <w:r>
        <w:rPr>
          <w:rFonts w:hint="eastAsia" w:ascii="宋体" w:hAnsi="宋体"/>
          <w:sz w:val="24"/>
          <w:szCs w:val="24"/>
        </w:rPr>
        <w:t>根据《中华人民共和国民法典》和《中华人民共和国政府采购法》等有关规定。为保证所购的服务质量，明确双方的权利义务，甲乙双方在平等、自愿、协商一致的基础上，就有关事宜达成如下协议：</w:t>
      </w:r>
    </w:p>
    <w:p>
      <w:pPr>
        <w:spacing w:before="120" w:beforeLines="50" w:line="360" w:lineRule="auto"/>
        <w:rPr>
          <w:rFonts w:ascii="宋体" w:hAnsi="宋体"/>
          <w:b/>
          <w:sz w:val="24"/>
          <w:szCs w:val="24"/>
        </w:rPr>
      </w:pPr>
      <w:r>
        <w:rPr>
          <w:rFonts w:hint="eastAsia" w:ascii="宋体" w:hAnsi="宋体"/>
          <w:b/>
          <w:sz w:val="24"/>
          <w:szCs w:val="24"/>
        </w:rPr>
        <w:t>第一条：合同范围</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1、项目名称：</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2、项目范围或内容：见合同附件</w:t>
      </w:r>
    </w:p>
    <w:p>
      <w:pPr>
        <w:spacing w:before="120" w:beforeLines="50" w:line="360" w:lineRule="auto"/>
        <w:rPr>
          <w:rFonts w:ascii="宋体" w:hAnsi="宋体"/>
          <w:b/>
          <w:sz w:val="24"/>
          <w:szCs w:val="24"/>
        </w:rPr>
      </w:pPr>
      <w:r>
        <w:rPr>
          <w:rFonts w:hint="eastAsia" w:ascii="宋体" w:hAnsi="宋体"/>
          <w:b/>
          <w:sz w:val="24"/>
          <w:szCs w:val="24"/>
        </w:rPr>
        <w:t>第二条：</w:t>
      </w:r>
      <w:r>
        <w:rPr>
          <w:rFonts w:hint="eastAsia" w:ascii="宋体" w:hAnsi="宋体" w:cs="仿宋"/>
          <w:b/>
          <w:sz w:val="24"/>
        </w:rPr>
        <w:t>合同金额及付款方式</w:t>
      </w:r>
    </w:p>
    <w:p>
      <w:pPr>
        <w:spacing w:line="360" w:lineRule="auto"/>
        <w:ind w:firstLine="480" w:firstLineChars="200"/>
        <w:rPr>
          <w:rFonts w:ascii="宋体" w:hAnsi="宋体" w:cs="仿宋"/>
          <w:sz w:val="24"/>
          <w:u w:val="single"/>
        </w:rPr>
      </w:pPr>
      <w:r>
        <w:rPr>
          <w:rFonts w:hint="eastAsia" w:ascii="宋体" w:hAnsi="宋体"/>
          <w:sz w:val="24"/>
          <w:szCs w:val="24"/>
        </w:rPr>
        <w:t>1、合同总价</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rPr>
        <w:t>元，大写：</w:t>
      </w:r>
      <w:r>
        <w:rPr>
          <w:rFonts w:hint="eastAsia" w:ascii="宋体" w:hAnsi="宋体" w:cs="仿宋"/>
          <w:sz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签订合同前，</w:t>
      </w:r>
      <w:r>
        <w:rPr>
          <w:rFonts w:hint="eastAsia" w:ascii="宋体" w:hAnsi="宋体"/>
          <w:sz w:val="24"/>
          <w:szCs w:val="24"/>
          <w:lang w:eastAsia="zh-CN"/>
        </w:rPr>
        <w:t>乙方</w:t>
      </w:r>
      <w:r>
        <w:rPr>
          <w:rFonts w:ascii="宋体" w:hAnsi="宋体"/>
          <w:sz w:val="24"/>
          <w:szCs w:val="24"/>
        </w:rPr>
        <w:t>向</w:t>
      </w:r>
      <w:r>
        <w:rPr>
          <w:rFonts w:hint="eastAsia" w:ascii="宋体" w:hAnsi="宋体"/>
          <w:sz w:val="24"/>
          <w:szCs w:val="24"/>
          <w:lang w:eastAsia="zh-CN"/>
        </w:rPr>
        <w:t>甲方</w:t>
      </w:r>
      <w:r>
        <w:rPr>
          <w:rFonts w:ascii="宋体" w:hAnsi="宋体"/>
          <w:sz w:val="24"/>
          <w:szCs w:val="24"/>
        </w:rPr>
        <w:t>支付</w:t>
      </w:r>
      <w:r>
        <w:rPr>
          <w:rFonts w:hint="eastAsia" w:ascii="宋体" w:hAnsi="宋体"/>
          <w:b/>
          <w:sz w:val="24"/>
          <w:szCs w:val="24"/>
          <w:lang w:eastAsia="zh-CN"/>
        </w:rPr>
        <w:t>合同</w:t>
      </w:r>
      <w:r>
        <w:rPr>
          <w:rFonts w:ascii="宋体" w:hAnsi="宋体"/>
          <w:b/>
          <w:sz w:val="24"/>
          <w:szCs w:val="24"/>
        </w:rPr>
        <w:t>金额的</w:t>
      </w:r>
      <w:r>
        <w:rPr>
          <w:rFonts w:hint="eastAsia" w:ascii="宋体" w:hAnsi="宋体"/>
          <w:b/>
          <w:sz w:val="24"/>
          <w:szCs w:val="24"/>
        </w:rPr>
        <w:t>5</w:t>
      </w:r>
      <w:r>
        <w:rPr>
          <w:rFonts w:ascii="宋体" w:hAnsi="宋体"/>
          <w:b/>
          <w:sz w:val="24"/>
          <w:szCs w:val="24"/>
        </w:rPr>
        <w:t>%作为履约保证金</w:t>
      </w:r>
      <w:r>
        <w:rPr>
          <w:rFonts w:hint="eastAsia" w:ascii="宋体" w:hAnsi="宋体"/>
          <w:sz w:val="24"/>
          <w:szCs w:val="24"/>
        </w:rPr>
        <w:t>，履约完毕且无待处理问题后</w:t>
      </w:r>
      <w:r>
        <w:rPr>
          <w:rFonts w:hint="eastAsia" w:ascii="宋体" w:hAnsi="宋体"/>
          <w:sz w:val="24"/>
          <w:szCs w:val="24"/>
          <w:lang w:val="en-US" w:eastAsia="zh-CN"/>
        </w:rPr>
        <w:t>30</w:t>
      </w:r>
      <w:r>
        <w:rPr>
          <w:rFonts w:hint="eastAsia" w:ascii="宋体" w:hAnsi="宋体"/>
          <w:sz w:val="24"/>
          <w:szCs w:val="24"/>
        </w:rPr>
        <w:t>日内甲方一次性无息退还。</w:t>
      </w:r>
    </w:p>
    <w:p>
      <w:pPr>
        <w:spacing w:line="360" w:lineRule="auto"/>
        <w:ind w:firstLine="480" w:firstLineChars="200"/>
      </w:pPr>
      <w:r>
        <w:rPr>
          <w:rFonts w:hint="eastAsia" w:ascii="宋体" w:hAnsi="宋体"/>
          <w:sz w:val="24"/>
          <w:szCs w:val="24"/>
        </w:rPr>
        <w:t>2、项目验收后</w:t>
      </w:r>
      <w:r>
        <w:rPr>
          <w:rFonts w:hint="eastAsia" w:ascii="宋体" w:hAnsi="宋体"/>
          <w:sz w:val="24"/>
          <w:szCs w:val="24"/>
          <w:lang w:val="en-US" w:eastAsia="zh-CN"/>
        </w:rPr>
        <w:t>30</w:t>
      </w:r>
      <w:r>
        <w:rPr>
          <w:rFonts w:hint="eastAsia" w:ascii="宋体" w:hAnsi="宋体"/>
          <w:sz w:val="24"/>
          <w:szCs w:val="24"/>
        </w:rPr>
        <w:t>日内支付合同全款。</w:t>
      </w:r>
    </w:p>
    <w:p>
      <w:pPr>
        <w:spacing w:before="120" w:beforeLines="50" w:line="360" w:lineRule="auto"/>
        <w:rPr>
          <w:rFonts w:ascii="宋体" w:hAnsi="宋体"/>
          <w:b/>
          <w:sz w:val="24"/>
          <w:szCs w:val="24"/>
        </w:rPr>
      </w:pPr>
      <w:r>
        <w:rPr>
          <w:rFonts w:hint="eastAsia" w:ascii="宋体" w:hAnsi="宋体" w:cs="仿宋"/>
          <w:b/>
          <w:sz w:val="24"/>
        </w:rPr>
        <w:t>第三条：</w:t>
      </w:r>
      <w:r>
        <w:rPr>
          <w:rFonts w:hint="eastAsia" w:ascii="宋体" w:hAnsi="宋体"/>
          <w:b/>
          <w:sz w:val="24"/>
          <w:szCs w:val="24"/>
        </w:rPr>
        <w:t>服务项目及要求</w:t>
      </w:r>
    </w:p>
    <w:p>
      <w:pPr>
        <w:snapToGrid w:val="0"/>
        <w:spacing w:line="360" w:lineRule="auto"/>
        <w:ind w:firstLine="480" w:firstLineChars="200"/>
        <w:rPr>
          <w:rFonts w:ascii="宋体" w:hAnsi="宋体" w:cs="PMingLiU"/>
          <w:kern w:val="0"/>
          <w:sz w:val="24"/>
          <w:szCs w:val="24"/>
        </w:rPr>
      </w:pPr>
      <w:r>
        <w:rPr>
          <w:rFonts w:hint="eastAsia" w:ascii="宋体" w:hAnsi="宋体" w:cs="PMingLiU"/>
          <w:kern w:val="0"/>
          <w:sz w:val="24"/>
          <w:szCs w:val="24"/>
        </w:rPr>
        <w:t>1、交付期（工期）：</w:t>
      </w:r>
      <w:r>
        <w:rPr>
          <w:rFonts w:hint="eastAsia" w:ascii="宋体" w:hAnsi="宋体" w:cs="方正仿宋_GBK"/>
          <w:kern w:val="0"/>
          <w:sz w:val="24"/>
          <w:szCs w:val="28"/>
        </w:rPr>
        <w:t>从签订合同之日起</w:t>
      </w:r>
      <w:r>
        <w:rPr>
          <w:rFonts w:hint="eastAsia" w:ascii="宋体" w:hAnsi="宋体" w:cs="方正仿宋_GBK"/>
          <w:kern w:val="0"/>
          <w:sz w:val="24"/>
          <w:szCs w:val="28"/>
          <w:u w:val="single"/>
        </w:rPr>
        <w:t xml:space="preserve">    </w:t>
      </w:r>
      <w:r>
        <w:rPr>
          <w:rFonts w:hint="eastAsia" w:ascii="宋体" w:hAnsi="宋体" w:cs="方正仿宋_GBK"/>
          <w:kern w:val="0"/>
          <w:sz w:val="24"/>
          <w:szCs w:val="28"/>
        </w:rPr>
        <w:t>日内交付正常使用。</w:t>
      </w:r>
    </w:p>
    <w:p>
      <w:pPr>
        <w:snapToGrid w:val="0"/>
        <w:spacing w:line="360" w:lineRule="auto"/>
        <w:ind w:firstLine="480" w:firstLineChars="200"/>
        <w:rPr>
          <w:rFonts w:ascii="宋体" w:hAnsi="宋体" w:cs="PMingLiU"/>
          <w:kern w:val="0"/>
          <w:sz w:val="24"/>
          <w:szCs w:val="24"/>
        </w:rPr>
      </w:pPr>
      <w:r>
        <w:rPr>
          <w:rFonts w:hint="eastAsia" w:ascii="宋体" w:hAnsi="宋体" w:cs="PMingLiU"/>
          <w:kern w:val="0"/>
          <w:sz w:val="24"/>
          <w:szCs w:val="24"/>
        </w:rPr>
        <w:t>2、交付地点：甲方指定地点</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4、产品质量保证期：</w:t>
      </w:r>
      <w:r>
        <w:rPr>
          <w:rFonts w:hint="eastAsia" w:ascii="宋体" w:hAnsi="宋体" w:cs="方正仿宋_GBK"/>
          <w:sz w:val="24"/>
          <w:szCs w:val="24"/>
          <w:u w:val="single"/>
        </w:rPr>
        <w:t xml:space="preserve">    年</w:t>
      </w:r>
      <w:r>
        <w:rPr>
          <w:rFonts w:hint="eastAsia" w:ascii="宋体" w:hAnsi="宋体" w:cs="方正仿宋_GBK"/>
          <w:sz w:val="24"/>
          <w:szCs w:val="24"/>
        </w:rPr>
        <w:t>，从项目验收合格之日算起。</w:t>
      </w:r>
    </w:p>
    <w:p>
      <w:pPr>
        <w:spacing w:before="120" w:beforeLines="50" w:line="360" w:lineRule="auto"/>
        <w:rPr>
          <w:rFonts w:ascii="宋体" w:hAnsi="宋体"/>
          <w:b/>
          <w:sz w:val="24"/>
          <w:szCs w:val="24"/>
        </w:rPr>
      </w:pPr>
      <w:r>
        <w:rPr>
          <w:rFonts w:hint="eastAsia" w:ascii="宋体" w:hAnsi="宋体"/>
          <w:b/>
          <w:sz w:val="24"/>
          <w:szCs w:val="24"/>
        </w:rPr>
        <w:t>第五条：合同期限与终止</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1、合同期限：从本合同生效之日起，直至质量保证期满且无争议或纠纷时止。</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2、合同的终止</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（1）合同期满，双方未续签的；</w:t>
      </w:r>
    </w:p>
    <w:p>
      <w:pPr>
        <w:spacing w:line="360" w:lineRule="auto"/>
        <w:ind w:firstLine="480" w:firstLineChars="200"/>
        <w:rPr>
          <w:rFonts w:ascii="宋体" w:hAnsi="宋体" w:cs="方正仿宋_GBK"/>
          <w:sz w:val="24"/>
          <w:szCs w:val="24"/>
        </w:rPr>
      </w:pPr>
      <w:r>
        <w:rPr>
          <w:rFonts w:hint="eastAsia" w:ascii="宋体" w:hAnsi="宋体" w:cs="方正仿宋_GBK"/>
          <w:sz w:val="24"/>
          <w:szCs w:val="24"/>
        </w:rPr>
        <w:t>（2）乙方服务能力丧失，致使服务无法正常进行的；</w:t>
      </w:r>
    </w:p>
    <w:p>
      <w:pPr>
        <w:spacing w:line="360" w:lineRule="auto"/>
        <w:ind w:firstLine="480" w:firstLineChars="200"/>
        <w:rPr>
          <w:rFonts w:ascii="宋体" w:hAnsi="宋体"/>
          <w:b/>
          <w:bCs/>
          <w:sz w:val="24"/>
          <w:szCs w:val="24"/>
        </w:rPr>
      </w:pPr>
      <w:r>
        <w:rPr>
          <w:rFonts w:hint="eastAsia" w:ascii="宋体" w:hAnsi="宋体" w:cs="方正仿宋_GBK"/>
          <w:sz w:val="24"/>
          <w:szCs w:val="24"/>
        </w:rPr>
        <w:t>（3）在履行合同过程中，乙方未按甲方要求或合同约定提供服务，可能造成项目延迟交付或验收，甲方有权立即终止合同，并按本合同第八条处理。</w:t>
      </w:r>
      <w:r>
        <w:rPr>
          <w:rFonts w:hint="eastAsia" w:ascii="宋体" w:hAnsi="宋体"/>
          <w:b/>
          <w:bCs/>
          <w:sz w:val="24"/>
          <w:szCs w:val="24"/>
        </w:rPr>
        <w:t xml:space="preserve"> </w:t>
      </w:r>
    </w:p>
    <w:p>
      <w:pPr>
        <w:spacing w:before="120" w:beforeLines="50" w:line="360" w:lineRule="auto"/>
        <w:rPr>
          <w:rFonts w:ascii="宋体" w:hAnsi="宋体"/>
          <w:b/>
          <w:sz w:val="24"/>
          <w:szCs w:val="24"/>
        </w:rPr>
      </w:pPr>
      <w:r>
        <w:rPr>
          <w:rFonts w:hint="eastAsia" w:ascii="宋体" w:hAnsi="宋体"/>
          <w:b/>
          <w:sz w:val="24"/>
          <w:szCs w:val="24"/>
        </w:rPr>
        <w:t>第六条：项目考核验收</w:t>
      </w:r>
    </w:p>
    <w:p>
      <w:pPr>
        <w:snapToGrid w:val="0"/>
        <w:spacing w:line="360" w:lineRule="auto"/>
        <w:ind w:firstLine="480" w:firstLineChars="200"/>
        <w:rPr>
          <w:rFonts w:ascii="宋体" w:hAnsi="宋体" w:cs="方正仿宋_GBK"/>
          <w:kern w:val="0"/>
          <w:sz w:val="24"/>
          <w:szCs w:val="28"/>
        </w:rPr>
      </w:pPr>
      <w:r>
        <w:rPr>
          <w:rFonts w:hint="eastAsia" w:ascii="宋体" w:hAnsi="宋体" w:cs="方正仿宋_GBK"/>
          <w:kern w:val="0"/>
          <w:sz w:val="24"/>
          <w:szCs w:val="28"/>
        </w:rPr>
        <w:t>1、由甲方组织验收。</w:t>
      </w:r>
    </w:p>
    <w:p>
      <w:pPr>
        <w:spacing w:line="360" w:lineRule="auto"/>
        <w:ind w:firstLine="480" w:firstLineChars="200"/>
        <w:rPr>
          <w:rFonts w:ascii="宋体" w:hAnsi="宋体"/>
          <w:sz w:val="24"/>
          <w:szCs w:val="24"/>
        </w:rPr>
      </w:pPr>
      <w:r>
        <w:rPr>
          <w:rFonts w:hint="eastAsia" w:ascii="宋体" w:hAnsi="宋体"/>
          <w:sz w:val="24"/>
          <w:szCs w:val="24"/>
        </w:rPr>
        <w:t>2、验收标准：招投标文件、医疗行业规范标准或惯例、医疗行业从业人员常用习惯、合同约定等。</w:t>
      </w:r>
    </w:p>
    <w:p>
      <w:pPr>
        <w:spacing w:line="360" w:lineRule="auto"/>
        <w:ind w:firstLine="480" w:firstLineChars="200"/>
        <w:rPr>
          <w:rFonts w:ascii="宋体" w:hAnsi="宋体"/>
          <w:sz w:val="24"/>
          <w:szCs w:val="24"/>
        </w:rPr>
      </w:pPr>
      <w:r>
        <w:rPr>
          <w:rFonts w:hint="eastAsia" w:ascii="宋体" w:hAnsi="宋体"/>
          <w:sz w:val="24"/>
          <w:szCs w:val="24"/>
        </w:rPr>
        <w:t>3、验收：项目试用效果良好，达到验收条件，乙方向甲方申请验收；经验收合格，甲方出具项目验收报告，验收合格报告作为付款必备条件和质保期起算的依据。</w:t>
      </w:r>
    </w:p>
    <w:p>
      <w:pPr>
        <w:spacing w:line="360" w:lineRule="auto"/>
        <w:ind w:firstLine="480" w:firstLineChars="200"/>
        <w:rPr>
          <w:rFonts w:ascii="宋体" w:hAnsi="宋体"/>
          <w:sz w:val="24"/>
          <w:szCs w:val="24"/>
        </w:rPr>
      </w:pPr>
      <w:r>
        <w:rPr>
          <w:rFonts w:hint="eastAsia" w:ascii="宋体" w:hAnsi="宋体"/>
          <w:sz w:val="24"/>
          <w:szCs w:val="24"/>
        </w:rPr>
        <w:t>4、在合同约定工期内未达到验收合格，按本合同第八条处理。</w:t>
      </w:r>
    </w:p>
    <w:p>
      <w:pPr>
        <w:spacing w:before="120" w:beforeLines="50" w:line="360" w:lineRule="auto"/>
        <w:rPr>
          <w:rFonts w:ascii="宋体" w:hAnsi="宋体"/>
          <w:b/>
          <w:sz w:val="24"/>
          <w:szCs w:val="24"/>
        </w:rPr>
      </w:pPr>
      <w:r>
        <w:rPr>
          <w:rFonts w:hint="eastAsia" w:ascii="宋体" w:hAnsi="宋体"/>
          <w:b/>
          <w:sz w:val="24"/>
          <w:szCs w:val="24"/>
        </w:rPr>
        <w:t>第七条：双方权利和义务</w:t>
      </w:r>
    </w:p>
    <w:p>
      <w:pPr>
        <w:spacing w:line="360" w:lineRule="auto"/>
        <w:ind w:firstLine="480" w:firstLineChars="200"/>
        <w:rPr>
          <w:rFonts w:ascii="宋体" w:hAnsi="宋体"/>
          <w:sz w:val="24"/>
          <w:szCs w:val="24"/>
        </w:rPr>
      </w:pPr>
      <w:r>
        <w:rPr>
          <w:rFonts w:hint="eastAsia" w:ascii="宋体" w:hAnsi="宋体"/>
          <w:sz w:val="24"/>
          <w:szCs w:val="24"/>
        </w:rPr>
        <w:t>（一）甲方权利、义务</w:t>
      </w:r>
    </w:p>
    <w:p>
      <w:pPr>
        <w:spacing w:line="360" w:lineRule="auto"/>
        <w:ind w:firstLine="480" w:firstLineChars="200"/>
        <w:rPr>
          <w:rFonts w:ascii="宋体" w:hAnsi="宋体"/>
          <w:sz w:val="24"/>
          <w:szCs w:val="24"/>
        </w:rPr>
      </w:pPr>
      <w:r>
        <w:rPr>
          <w:rFonts w:hint="eastAsia" w:ascii="宋体" w:hAnsi="宋体"/>
          <w:sz w:val="24"/>
          <w:szCs w:val="24"/>
        </w:rPr>
        <w:t>1、甲方有权对项目进行全程跟踪和监督，并对乙方进行的服务进行考核。</w:t>
      </w:r>
    </w:p>
    <w:p>
      <w:pPr>
        <w:spacing w:line="360" w:lineRule="auto"/>
        <w:ind w:firstLine="480" w:firstLineChars="200"/>
        <w:rPr>
          <w:rFonts w:ascii="宋体" w:hAnsi="宋体"/>
          <w:sz w:val="24"/>
          <w:szCs w:val="24"/>
        </w:rPr>
      </w:pPr>
      <w:r>
        <w:rPr>
          <w:rFonts w:hint="eastAsia" w:ascii="宋体" w:hAnsi="宋体"/>
          <w:sz w:val="24"/>
          <w:szCs w:val="24"/>
        </w:rPr>
        <w:t>2、协调乙方在提供服务过程相关的政府部门和单位。</w:t>
      </w:r>
    </w:p>
    <w:p>
      <w:pPr>
        <w:spacing w:line="360" w:lineRule="auto"/>
        <w:ind w:firstLine="480" w:firstLineChars="200"/>
        <w:rPr>
          <w:rFonts w:ascii="宋体" w:hAnsi="宋体"/>
          <w:sz w:val="24"/>
          <w:szCs w:val="24"/>
        </w:rPr>
      </w:pPr>
      <w:r>
        <w:rPr>
          <w:rFonts w:hint="eastAsia" w:ascii="宋体" w:hAnsi="宋体"/>
          <w:sz w:val="24"/>
          <w:szCs w:val="24"/>
        </w:rPr>
        <w:t>3、一旦发现本项目可能延期交互或难以通过项目验收，有权立即终止合同，更换中标人、另行签订合同，以满足本项目的按期验收合格。</w:t>
      </w:r>
    </w:p>
    <w:p>
      <w:pPr>
        <w:spacing w:line="360" w:lineRule="auto"/>
        <w:ind w:firstLine="480" w:firstLineChars="200"/>
        <w:rPr>
          <w:rFonts w:ascii="宋体" w:hAnsi="宋体"/>
          <w:sz w:val="24"/>
          <w:szCs w:val="24"/>
        </w:rPr>
      </w:pPr>
      <w:r>
        <w:rPr>
          <w:rFonts w:hint="eastAsia" w:ascii="宋体" w:hAnsi="宋体"/>
          <w:sz w:val="24"/>
          <w:szCs w:val="24"/>
        </w:rPr>
        <w:t>（二）乙方权利、义务</w:t>
      </w:r>
    </w:p>
    <w:p>
      <w:pPr>
        <w:spacing w:line="360" w:lineRule="auto"/>
        <w:ind w:firstLine="480" w:firstLineChars="200"/>
        <w:rPr>
          <w:rFonts w:ascii="宋体" w:hAnsi="宋体"/>
          <w:sz w:val="24"/>
          <w:szCs w:val="24"/>
        </w:rPr>
      </w:pPr>
      <w:r>
        <w:rPr>
          <w:rFonts w:hint="eastAsia" w:ascii="宋体" w:hAnsi="宋体"/>
          <w:sz w:val="24"/>
          <w:szCs w:val="24"/>
        </w:rPr>
        <w:t>1、乙方可要求甲方按本合同规定按时足额付款。</w:t>
      </w:r>
    </w:p>
    <w:p>
      <w:pPr>
        <w:spacing w:line="360" w:lineRule="auto"/>
        <w:ind w:firstLine="480" w:firstLineChars="200"/>
        <w:rPr>
          <w:rFonts w:ascii="宋体" w:hAnsi="宋体"/>
          <w:sz w:val="24"/>
          <w:szCs w:val="24"/>
        </w:rPr>
      </w:pPr>
      <w:r>
        <w:rPr>
          <w:rFonts w:hint="eastAsia" w:ascii="宋体" w:hAnsi="宋体"/>
          <w:sz w:val="24"/>
          <w:szCs w:val="24"/>
        </w:rPr>
        <w:t>2、乙方不得将服务项目委托给第三人；在履行合同过程中，必须接受甲方监督，满足质量、工期和保证合格验收要求。当可能延期交付或难以保证结果时，应同意甲方立即更换中标人。</w:t>
      </w:r>
    </w:p>
    <w:p>
      <w:pPr>
        <w:spacing w:before="120" w:beforeLines="50" w:line="360" w:lineRule="auto"/>
        <w:rPr>
          <w:rFonts w:ascii="宋体" w:hAnsi="宋体"/>
          <w:b/>
          <w:sz w:val="24"/>
          <w:szCs w:val="24"/>
        </w:rPr>
      </w:pPr>
      <w:r>
        <w:rPr>
          <w:rFonts w:hint="eastAsia" w:ascii="宋体" w:hAnsi="宋体"/>
          <w:b/>
          <w:sz w:val="24"/>
          <w:szCs w:val="24"/>
        </w:rPr>
        <w:t>第八条：争议及违约处理</w:t>
      </w:r>
    </w:p>
    <w:p>
      <w:pPr>
        <w:spacing w:line="360" w:lineRule="auto"/>
        <w:ind w:firstLine="480" w:firstLineChars="200"/>
        <w:rPr>
          <w:rFonts w:ascii="宋体" w:hAnsi="宋体"/>
          <w:sz w:val="24"/>
          <w:szCs w:val="24"/>
        </w:rPr>
      </w:pPr>
      <w:r>
        <w:rPr>
          <w:rFonts w:hint="eastAsia" w:ascii="宋体" w:hAnsi="宋体"/>
          <w:sz w:val="24"/>
          <w:szCs w:val="24"/>
        </w:rPr>
        <w:t>本合同在签订或履行过程中发生争议，由甲乙双方协商解决，协商不成的，先按以下方式处理，待甲方针对本项目正式验收合格后，再另行向甲方所在地人民法院提起诉讼。</w:t>
      </w:r>
    </w:p>
    <w:p>
      <w:pPr>
        <w:spacing w:line="360" w:lineRule="auto"/>
        <w:ind w:firstLine="480" w:firstLineChars="200"/>
        <w:rPr>
          <w:rFonts w:ascii="宋体" w:hAnsi="宋体"/>
          <w:sz w:val="24"/>
          <w:szCs w:val="24"/>
        </w:rPr>
      </w:pPr>
      <w:r>
        <w:rPr>
          <w:rFonts w:hint="eastAsia" w:ascii="宋体" w:hAnsi="宋体"/>
          <w:sz w:val="24"/>
          <w:szCs w:val="24"/>
        </w:rPr>
        <w:t>1、未能签订合同或在交付期内未能通过正式验收，甲方不退还履约保证金，且乙方按甲方</w:t>
      </w:r>
      <w:r>
        <w:rPr>
          <w:rFonts w:ascii="宋体" w:hAnsi="宋体"/>
          <w:sz w:val="24"/>
          <w:szCs w:val="24"/>
        </w:rPr>
        <w:t>损失</w:t>
      </w:r>
      <w:r>
        <w:rPr>
          <w:rFonts w:hint="eastAsia" w:ascii="宋体" w:hAnsi="宋体"/>
          <w:sz w:val="24"/>
          <w:szCs w:val="24"/>
        </w:rPr>
        <w:t>的</w:t>
      </w:r>
      <w:r>
        <w:rPr>
          <w:rFonts w:ascii="宋体" w:hAnsi="宋体"/>
          <w:sz w:val="24"/>
          <w:szCs w:val="24"/>
        </w:rPr>
        <w:t>13</w:t>
      </w:r>
      <w:r>
        <w:rPr>
          <w:rFonts w:hint="eastAsia" w:ascii="宋体" w:hAnsi="宋体"/>
          <w:sz w:val="24"/>
          <w:szCs w:val="24"/>
        </w:rPr>
        <w:t>0%向甲方支付违</w:t>
      </w:r>
      <w:r>
        <w:rPr>
          <w:rFonts w:ascii="宋体" w:hAnsi="宋体"/>
          <w:sz w:val="24"/>
          <w:szCs w:val="24"/>
        </w:rPr>
        <w:t>约金</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2、交付使用后的售后服务期间，因违约或重大过失给甲方造成对方经济损失的，乙方应按甲方</w:t>
      </w:r>
      <w:r>
        <w:rPr>
          <w:rFonts w:ascii="宋体" w:hAnsi="宋体"/>
          <w:sz w:val="24"/>
          <w:szCs w:val="24"/>
        </w:rPr>
        <w:t>损失</w:t>
      </w:r>
      <w:r>
        <w:rPr>
          <w:rFonts w:hint="eastAsia" w:ascii="宋体" w:hAnsi="宋体"/>
          <w:sz w:val="24"/>
          <w:szCs w:val="24"/>
        </w:rPr>
        <w:t>的</w:t>
      </w:r>
      <w:r>
        <w:rPr>
          <w:rFonts w:ascii="宋体" w:hAnsi="宋体"/>
          <w:sz w:val="24"/>
          <w:szCs w:val="24"/>
        </w:rPr>
        <w:t>13</w:t>
      </w:r>
      <w:r>
        <w:rPr>
          <w:rFonts w:hint="eastAsia" w:ascii="宋体" w:hAnsi="宋体"/>
          <w:sz w:val="24"/>
          <w:szCs w:val="24"/>
        </w:rPr>
        <w:t>0%向甲方进行赔偿。</w:t>
      </w:r>
    </w:p>
    <w:p>
      <w:pPr>
        <w:spacing w:line="360" w:lineRule="auto"/>
        <w:ind w:firstLine="480" w:firstLineChars="200"/>
        <w:rPr>
          <w:rFonts w:ascii="宋体" w:hAnsi="宋体"/>
          <w:sz w:val="24"/>
          <w:szCs w:val="24"/>
        </w:rPr>
      </w:pPr>
      <w:r>
        <w:rPr>
          <w:rFonts w:hint="eastAsia" w:ascii="宋体" w:hAnsi="宋体"/>
          <w:sz w:val="24"/>
          <w:szCs w:val="24"/>
        </w:rPr>
        <w:t>3、本项目若存在未能按期签订合同、未按期交付使用或未能按期通过正式验收三种情形之一者，甲方应将乙方上报北碚区财政局纳入不诚信供应商黑名单；同时，为满足甲方项目工期及验收要求，甲方有权立即申请更换中标人或立即终止合同。</w:t>
      </w:r>
    </w:p>
    <w:p>
      <w:pPr>
        <w:spacing w:before="120" w:beforeLines="50" w:line="360" w:lineRule="auto"/>
        <w:rPr>
          <w:rFonts w:ascii="宋体" w:hAnsi="宋体"/>
          <w:b/>
          <w:sz w:val="24"/>
          <w:szCs w:val="24"/>
        </w:rPr>
      </w:pPr>
      <w:r>
        <w:rPr>
          <w:rFonts w:hint="eastAsia" w:ascii="宋体" w:hAnsi="宋体"/>
          <w:b/>
          <w:sz w:val="24"/>
          <w:szCs w:val="24"/>
        </w:rPr>
        <w:t>第九条：其它</w:t>
      </w:r>
    </w:p>
    <w:p>
      <w:pPr>
        <w:spacing w:line="360" w:lineRule="auto"/>
        <w:ind w:firstLine="480" w:firstLineChars="200"/>
        <w:rPr>
          <w:rFonts w:ascii="宋体" w:hAnsi="宋体"/>
          <w:sz w:val="24"/>
          <w:szCs w:val="24"/>
        </w:rPr>
      </w:pPr>
      <w:r>
        <w:rPr>
          <w:rFonts w:hint="eastAsia" w:ascii="宋体" w:hAnsi="宋体"/>
          <w:sz w:val="24"/>
          <w:szCs w:val="24"/>
        </w:rPr>
        <w:t>1、招标文件及其补遗文件、投标文件及承诺是本合同不可分割的部分。</w:t>
      </w:r>
    </w:p>
    <w:p>
      <w:pPr>
        <w:spacing w:line="360" w:lineRule="auto"/>
        <w:ind w:firstLine="480" w:firstLineChars="200"/>
        <w:rPr>
          <w:rFonts w:ascii="宋体" w:hAnsi="宋体"/>
          <w:sz w:val="24"/>
          <w:szCs w:val="24"/>
        </w:rPr>
      </w:pPr>
      <w:r>
        <w:rPr>
          <w:rFonts w:hint="eastAsia" w:ascii="宋体" w:hAnsi="宋体"/>
          <w:sz w:val="24"/>
          <w:szCs w:val="24"/>
        </w:rPr>
        <w:t>2、本协议一式肆份，甲乙双方各执两份，经双方签字盖章后之日起生效。</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甲方 （公章）：                          乙方（公章）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法定代表人：                             授权代表：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经办人：</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left"/>
        <w:rPr>
          <w:rFonts w:ascii="宋体" w:hAnsi="宋体"/>
          <w:sz w:val="24"/>
          <w:szCs w:val="24"/>
        </w:rPr>
      </w:pPr>
      <w:r>
        <w:rPr>
          <w:rFonts w:hint="eastAsia" w:ascii="宋体" w:hAnsi="宋体"/>
          <w:sz w:val="24"/>
          <w:szCs w:val="24"/>
        </w:rPr>
        <w:t>开户行：建行北碚支行</w:t>
      </w:r>
    </w:p>
    <w:p>
      <w:pPr>
        <w:spacing w:line="360" w:lineRule="auto"/>
        <w:jc w:val="left"/>
        <w:rPr>
          <w:rFonts w:ascii="宋体" w:hAnsi="宋体"/>
          <w:sz w:val="24"/>
          <w:szCs w:val="24"/>
        </w:rPr>
      </w:pPr>
      <w:r>
        <w:rPr>
          <w:rFonts w:hint="eastAsia" w:ascii="宋体" w:hAnsi="宋体"/>
          <w:sz w:val="24"/>
          <w:szCs w:val="24"/>
        </w:rPr>
        <w:t>账号：</w:t>
      </w:r>
      <w:r>
        <w:rPr>
          <w:rFonts w:ascii="宋体" w:hAnsi="宋体"/>
          <w:sz w:val="24"/>
          <w:szCs w:val="24"/>
        </w:rPr>
        <w:t>5000 1093 6000 5001 2527</w:t>
      </w:r>
    </w:p>
    <w:p>
      <w:pPr>
        <w:spacing w:line="360" w:lineRule="auto"/>
        <w:rPr>
          <w:rFonts w:ascii="宋体" w:hAnsi="宋体"/>
          <w:sz w:val="24"/>
          <w:szCs w:val="24"/>
        </w:rPr>
      </w:pPr>
      <w:r>
        <w:rPr>
          <w:rFonts w:hint="eastAsia" w:ascii="宋体" w:hAnsi="宋体"/>
          <w:sz w:val="24"/>
          <w:szCs w:val="24"/>
        </w:rPr>
        <w:t>纳税人识别号：12500109450388583N</w:t>
      </w:r>
    </w:p>
    <w:p>
      <w:pPr>
        <w:spacing w:line="360" w:lineRule="auto"/>
        <w:rPr>
          <w:rFonts w:ascii="宋体" w:hAnsi="宋体"/>
          <w:sz w:val="24"/>
          <w:szCs w:val="24"/>
        </w:rPr>
      </w:pPr>
      <w:r>
        <w:rPr>
          <w:rFonts w:hint="eastAsia" w:ascii="宋体" w:hAnsi="宋体"/>
          <w:sz w:val="24"/>
          <w:szCs w:val="24"/>
        </w:rPr>
        <w:t xml:space="preserve">地址：重庆市北碚区嘉陵村69号          地址：               </w:t>
      </w:r>
    </w:p>
    <w:p>
      <w:pPr>
        <w:spacing w:line="360" w:lineRule="auto"/>
        <w:rPr>
          <w:rFonts w:ascii="宋体" w:hAnsi="宋体"/>
          <w:sz w:val="24"/>
          <w:szCs w:val="24"/>
        </w:rPr>
      </w:pPr>
      <w:r>
        <w:rPr>
          <w:rFonts w:hint="eastAsia" w:ascii="宋体" w:hAnsi="宋体"/>
          <w:sz w:val="24"/>
          <w:szCs w:val="24"/>
        </w:rPr>
        <w:t xml:space="preserve">电话：                                 电话：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签约日期：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             签约日期：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sz w:val="24"/>
          <w:szCs w:val="24"/>
        </w:rPr>
      </w:pPr>
    </w:p>
    <w:p>
      <w:pPr>
        <w:spacing w:line="360" w:lineRule="auto"/>
        <w:rPr>
          <w:rFonts w:ascii="宋体" w:hAnsi="宋体" w:cs="方正仿宋_GBK"/>
          <w:sz w:val="24"/>
          <w:szCs w:val="24"/>
        </w:rPr>
      </w:pPr>
    </w:p>
    <w:p>
      <w:pPr>
        <w:rPr>
          <w:rFonts w:hint="eastAsia" w:ascii="宋体" w:hAnsi="宋体" w:eastAsia="宋体"/>
        </w:rPr>
      </w:pPr>
      <w:bookmarkStart w:id="59" w:name="_Toc13881"/>
      <w:r>
        <w:rPr>
          <w:rFonts w:hint="eastAsia" w:ascii="宋体" w:hAnsi="宋体" w:eastAsia="宋体"/>
        </w:rPr>
        <w:br w:type="page"/>
      </w:r>
    </w:p>
    <w:p>
      <w:pPr>
        <w:pStyle w:val="2"/>
        <w:spacing w:before="0" w:beforeLines="0" w:after="0" w:afterLines="0" w:line="360" w:lineRule="auto"/>
        <w:rPr>
          <w:rFonts w:ascii="宋体" w:hAnsi="宋体" w:eastAsia="宋体"/>
        </w:rPr>
      </w:pPr>
      <w:r>
        <w:rPr>
          <w:rFonts w:hint="eastAsia" w:ascii="宋体" w:hAnsi="宋体" w:eastAsia="宋体"/>
        </w:rPr>
        <w:t>第六篇  响应文件格式</w:t>
      </w:r>
      <w:bookmarkEnd w:id="59"/>
    </w:p>
    <w:p>
      <w:pPr>
        <w:snapToGrid w:val="0"/>
        <w:spacing w:line="360" w:lineRule="auto"/>
        <w:ind w:firstLine="482" w:firstLineChars="200"/>
        <w:rPr>
          <w:rFonts w:ascii="宋体" w:hAnsi="宋体"/>
          <w:b/>
          <w:sz w:val="24"/>
          <w:szCs w:val="24"/>
        </w:rPr>
      </w:pPr>
      <w:r>
        <w:rPr>
          <w:rFonts w:hint="eastAsia" w:ascii="宋体" w:hAnsi="宋体"/>
          <w:b/>
          <w:sz w:val="24"/>
          <w:szCs w:val="24"/>
        </w:rPr>
        <w:t>一、经济文件</w:t>
      </w:r>
    </w:p>
    <w:p>
      <w:pPr>
        <w:snapToGrid w:val="0"/>
        <w:spacing w:line="360" w:lineRule="auto"/>
        <w:ind w:firstLine="480" w:firstLineChars="200"/>
        <w:rPr>
          <w:rFonts w:ascii="宋体" w:hAnsi="宋体"/>
          <w:sz w:val="24"/>
          <w:szCs w:val="24"/>
        </w:rPr>
      </w:pPr>
      <w:r>
        <w:rPr>
          <w:rFonts w:hint="eastAsia" w:ascii="宋体" w:hAnsi="宋体"/>
          <w:sz w:val="24"/>
          <w:szCs w:val="24"/>
        </w:rPr>
        <w:t>（一）报价一览表</w:t>
      </w:r>
    </w:p>
    <w:p>
      <w:pPr>
        <w:snapToGrid w:val="0"/>
        <w:spacing w:line="360" w:lineRule="auto"/>
        <w:ind w:firstLine="480" w:firstLineChars="200"/>
        <w:rPr>
          <w:rFonts w:ascii="宋体" w:hAnsi="宋体"/>
          <w:sz w:val="24"/>
          <w:szCs w:val="24"/>
        </w:rPr>
      </w:pPr>
      <w:r>
        <w:rPr>
          <w:rFonts w:hint="eastAsia" w:ascii="宋体" w:hAnsi="宋体"/>
          <w:sz w:val="24"/>
          <w:szCs w:val="24"/>
        </w:rPr>
        <w:t>（二）分项报价明细表</w:t>
      </w:r>
    </w:p>
    <w:p>
      <w:pPr>
        <w:snapToGrid w:val="0"/>
        <w:spacing w:line="360" w:lineRule="auto"/>
        <w:ind w:firstLine="482" w:firstLineChars="200"/>
        <w:rPr>
          <w:rFonts w:ascii="宋体" w:hAnsi="宋体"/>
          <w:b/>
          <w:sz w:val="24"/>
          <w:szCs w:val="24"/>
        </w:rPr>
      </w:pPr>
      <w:r>
        <w:rPr>
          <w:rFonts w:hint="eastAsia" w:ascii="宋体" w:hAnsi="宋体"/>
          <w:b/>
          <w:sz w:val="24"/>
          <w:szCs w:val="24"/>
        </w:rPr>
        <w:t>二、资格文件</w:t>
      </w:r>
    </w:p>
    <w:p>
      <w:pPr>
        <w:snapToGrid w:val="0"/>
        <w:spacing w:line="360" w:lineRule="auto"/>
        <w:ind w:firstLine="480" w:firstLineChars="200"/>
        <w:rPr>
          <w:rFonts w:ascii="宋体" w:hAnsi="宋体"/>
          <w:sz w:val="24"/>
          <w:szCs w:val="24"/>
        </w:rPr>
      </w:pPr>
      <w:r>
        <w:rPr>
          <w:rFonts w:hint="eastAsia" w:ascii="宋体" w:hAnsi="宋体"/>
          <w:sz w:val="24"/>
          <w:szCs w:val="24"/>
        </w:rPr>
        <w:t>（一）营业执照（副本）或事业单位法人证书（副本）复印件</w:t>
      </w:r>
    </w:p>
    <w:p>
      <w:pPr>
        <w:snapToGrid w:val="0"/>
        <w:spacing w:line="360" w:lineRule="auto"/>
        <w:ind w:firstLine="480" w:firstLineChars="200"/>
        <w:rPr>
          <w:rFonts w:ascii="宋体" w:hAnsi="宋体"/>
          <w:sz w:val="24"/>
          <w:szCs w:val="24"/>
        </w:rPr>
      </w:pPr>
      <w:r>
        <w:rPr>
          <w:rFonts w:hint="eastAsia" w:ascii="宋体" w:hAnsi="宋体"/>
          <w:sz w:val="24"/>
          <w:szCs w:val="24"/>
        </w:rPr>
        <w:t>（二）组织机构代码证复印件</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（三）竞争性磋商参与函（格式）</w:t>
      </w:r>
    </w:p>
    <w:p>
      <w:pPr>
        <w:snapToGrid w:val="0"/>
        <w:spacing w:line="360" w:lineRule="auto"/>
        <w:ind w:firstLine="480" w:firstLineChars="200"/>
        <w:rPr>
          <w:rFonts w:ascii="宋体" w:hAnsi="宋体"/>
          <w:sz w:val="24"/>
          <w:szCs w:val="24"/>
        </w:rPr>
      </w:pPr>
      <w:r>
        <w:rPr>
          <w:rFonts w:hint="eastAsia" w:ascii="宋体" w:hAnsi="宋体"/>
          <w:sz w:val="24"/>
          <w:szCs w:val="24"/>
        </w:rPr>
        <w:t>（四）法定代表人身份证明书（格式）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（五）法定代表人授权委托书（格式）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（六）书面声明（格式）</w:t>
      </w:r>
    </w:p>
    <w:p>
      <w:pPr>
        <w:snapToGrid w:val="0"/>
        <w:spacing w:line="360" w:lineRule="auto"/>
        <w:ind w:firstLine="480" w:firstLineChars="200"/>
        <w:rPr>
          <w:rFonts w:ascii="宋体" w:hAnsi="宋体"/>
          <w:sz w:val="24"/>
          <w:szCs w:val="24"/>
        </w:rPr>
      </w:pPr>
      <w:r>
        <w:rPr>
          <w:rFonts w:hint="eastAsia" w:ascii="宋体" w:hAnsi="宋体"/>
          <w:sz w:val="24"/>
          <w:szCs w:val="24"/>
        </w:rPr>
        <w:t>（七）税务登记证（副本）复印件和社会保险缴纳证明材料</w:t>
      </w:r>
    </w:p>
    <w:p>
      <w:pPr>
        <w:snapToGrid w:val="0"/>
        <w:spacing w:line="360" w:lineRule="auto"/>
        <w:ind w:firstLine="480" w:firstLineChars="200"/>
        <w:rPr>
          <w:rFonts w:ascii="宋体" w:hAnsi="宋体"/>
          <w:sz w:val="24"/>
          <w:szCs w:val="24"/>
        </w:rPr>
      </w:pPr>
      <w:r>
        <w:rPr>
          <w:rFonts w:hint="eastAsia" w:ascii="宋体" w:hAnsi="宋体"/>
          <w:sz w:val="24"/>
          <w:szCs w:val="24"/>
        </w:rPr>
        <w:t>（八）特定资格条件证书或证明文件</w:t>
      </w:r>
    </w:p>
    <w:p>
      <w:pPr>
        <w:snapToGrid w:val="0"/>
        <w:spacing w:line="360" w:lineRule="auto"/>
        <w:ind w:firstLine="480" w:firstLineChars="200"/>
        <w:rPr>
          <w:rFonts w:ascii="宋体" w:hAnsi="宋体"/>
          <w:b/>
          <w:sz w:val="24"/>
          <w:szCs w:val="24"/>
        </w:rPr>
      </w:pPr>
      <w:r>
        <w:rPr>
          <w:rFonts w:hint="eastAsia" w:ascii="宋体" w:hAnsi="宋体"/>
          <w:sz w:val="24"/>
          <w:szCs w:val="24"/>
        </w:rPr>
        <w:t>说明：供应商按“三证合一”登记制度办理营业执照的，组织机构代码证和税务登记证以供应商所提供的法人营业执照（副本）复印件为准。</w:t>
      </w:r>
    </w:p>
    <w:p>
      <w:pPr>
        <w:snapToGrid w:val="0"/>
        <w:spacing w:line="360" w:lineRule="auto"/>
        <w:ind w:firstLine="482" w:firstLineChars="200"/>
        <w:rPr>
          <w:rFonts w:ascii="宋体" w:hAnsi="宋体"/>
          <w:b/>
          <w:sz w:val="24"/>
          <w:szCs w:val="24"/>
        </w:rPr>
      </w:pPr>
      <w:r>
        <w:rPr>
          <w:rFonts w:hint="eastAsia" w:ascii="宋体" w:hAnsi="宋体"/>
          <w:b/>
          <w:sz w:val="24"/>
          <w:szCs w:val="24"/>
        </w:rPr>
        <w:t>三、服务响应文件</w:t>
      </w:r>
    </w:p>
    <w:p>
      <w:pPr>
        <w:snapToGrid w:val="0"/>
        <w:spacing w:line="360" w:lineRule="auto"/>
        <w:ind w:firstLine="480" w:firstLineChars="200"/>
        <w:rPr>
          <w:rFonts w:ascii="宋体" w:hAnsi="宋体"/>
          <w:sz w:val="24"/>
          <w:szCs w:val="24"/>
        </w:rPr>
      </w:pPr>
      <w:r>
        <w:rPr>
          <w:rFonts w:hint="eastAsia" w:ascii="宋体" w:hAnsi="宋体"/>
          <w:sz w:val="24"/>
          <w:szCs w:val="24"/>
        </w:rPr>
        <w:t>（一）服务具体方案</w:t>
      </w:r>
    </w:p>
    <w:p>
      <w:pPr>
        <w:snapToGrid w:val="0"/>
        <w:spacing w:line="360" w:lineRule="auto"/>
        <w:ind w:firstLine="480" w:firstLineChars="200"/>
        <w:rPr>
          <w:rFonts w:ascii="宋体" w:hAnsi="宋体"/>
          <w:sz w:val="24"/>
          <w:szCs w:val="24"/>
        </w:rPr>
      </w:pPr>
      <w:r>
        <w:rPr>
          <w:rFonts w:hint="eastAsia" w:ascii="宋体" w:hAnsi="宋体"/>
          <w:sz w:val="24"/>
          <w:szCs w:val="24"/>
        </w:rPr>
        <w:t>（二）商务承诺</w:t>
      </w:r>
    </w:p>
    <w:p>
      <w:pPr>
        <w:snapToGrid w:val="0"/>
        <w:spacing w:line="360" w:lineRule="auto"/>
        <w:ind w:firstLine="480" w:firstLineChars="200"/>
        <w:rPr>
          <w:rFonts w:ascii="宋体" w:hAnsi="宋体"/>
          <w:sz w:val="24"/>
          <w:szCs w:val="24"/>
        </w:rPr>
      </w:pPr>
      <w:r>
        <w:rPr>
          <w:rFonts w:hint="eastAsia" w:ascii="宋体" w:hAnsi="宋体"/>
          <w:sz w:val="24"/>
          <w:szCs w:val="24"/>
        </w:rPr>
        <w:t>（三）服务响应条款差异表</w:t>
      </w:r>
    </w:p>
    <w:p>
      <w:pPr>
        <w:tabs>
          <w:tab w:val="left" w:pos="1764"/>
        </w:tabs>
        <w:snapToGrid w:val="0"/>
        <w:spacing w:line="360" w:lineRule="auto"/>
        <w:ind w:firstLine="482" w:firstLineChars="200"/>
        <w:rPr>
          <w:rFonts w:ascii="宋体" w:hAnsi="宋体"/>
          <w:b/>
          <w:sz w:val="24"/>
          <w:szCs w:val="24"/>
        </w:rPr>
      </w:pPr>
      <w:r>
        <w:rPr>
          <w:rFonts w:hint="eastAsia" w:ascii="宋体" w:hAnsi="宋体"/>
          <w:b/>
          <w:sz w:val="24"/>
          <w:szCs w:val="24"/>
        </w:rPr>
        <w:t>四、其他</w:t>
      </w:r>
    </w:p>
    <w:p>
      <w:pPr>
        <w:snapToGrid w:val="0"/>
        <w:spacing w:line="360" w:lineRule="auto"/>
        <w:ind w:firstLine="480" w:firstLineChars="200"/>
        <w:rPr>
          <w:rFonts w:ascii="宋体" w:hAnsi="宋体"/>
          <w:sz w:val="24"/>
          <w:szCs w:val="24"/>
        </w:rPr>
      </w:pPr>
      <w:r>
        <w:rPr>
          <w:rFonts w:hint="eastAsia" w:ascii="宋体" w:hAnsi="宋体"/>
          <w:sz w:val="24"/>
          <w:szCs w:val="24"/>
        </w:rPr>
        <w:t>（一）其他与项目有关的资料（自附）</w:t>
      </w:r>
    </w:p>
    <w:p>
      <w:pPr>
        <w:pStyle w:val="3"/>
        <w:ind w:firstLine="560" w:firstLineChars="200"/>
        <w:rPr>
          <w:b/>
          <w:szCs w:val="28"/>
        </w:rPr>
      </w:pPr>
      <w:r>
        <w:rPr>
          <w:rFonts w:hint="eastAsia"/>
        </w:rPr>
        <w:br w:type="page"/>
      </w:r>
      <w:bookmarkStart w:id="60" w:name="_Toc441065694"/>
      <w:bookmarkStart w:id="61" w:name="_Toc429584884"/>
      <w:bookmarkStart w:id="62" w:name="_Toc19092"/>
      <w:r>
        <w:rPr>
          <w:rFonts w:hint="eastAsia"/>
          <w:b/>
          <w:szCs w:val="28"/>
        </w:rPr>
        <w:t>一、经济文件</w:t>
      </w:r>
      <w:bookmarkEnd w:id="60"/>
      <w:bookmarkEnd w:id="61"/>
      <w:bookmarkEnd w:id="62"/>
    </w:p>
    <w:p>
      <w:pPr>
        <w:snapToGrid w:val="0"/>
        <w:spacing w:line="360" w:lineRule="auto"/>
        <w:jc w:val="center"/>
        <w:rPr>
          <w:rFonts w:ascii="宋体" w:hAnsi="宋体"/>
          <w:szCs w:val="36"/>
        </w:rPr>
      </w:pPr>
      <w:r>
        <w:rPr>
          <w:rFonts w:hint="eastAsia" w:ascii="宋体" w:hAnsi="宋体"/>
          <w:szCs w:val="36"/>
        </w:rPr>
        <w:t>（一）报价一览表</w:t>
      </w:r>
    </w:p>
    <w:p>
      <w:pPr>
        <w:spacing w:line="360" w:lineRule="auto"/>
        <w:ind w:firstLine="240" w:firstLineChars="100"/>
        <w:rPr>
          <w:rFonts w:ascii="宋体" w:hAnsi="宋体"/>
          <w:sz w:val="24"/>
          <w:szCs w:val="28"/>
        </w:rPr>
      </w:pPr>
    </w:p>
    <w:p>
      <w:pPr>
        <w:spacing w:line="360" w:lineRule="auto"/>
        <w:ind w:firstLine="240" w:firstLineChars="100"/>
        <w:rPr>
          <w:rFonts w:ascii="宋体" w:hAnsi="宋体"/>
          <w:sz w:val="24"/>
          <w:szCs w:val="28"/>
        </w:rPr>
      </w:pPr>
      <w:r>
        <w:rPr>
          <w:rFonts w:hint="eastAsia" w:ascii="宋体" w:hAnsi="宋体"/>
          <w:sz w:val="24"/>
          <w:szCs w:val="28"/>
        </w:rPr>
        <w:t>项目名称：                                    项目编号：</w:t>
      </w:r>
    </w:p>
    <w:tbl>
      <w:tblPr>
        <w:tblStyle w:val="58"/>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3429"/>
        <w:gridCol w:w="315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575" w:type="dxa"/>
            <w:vAlign w:val="center"/>
          </w:tcPr>
          <w:p>
            <w:pPr>
              <w:spacing w:line="360" w:lineRule="auto"/>
              <w:jc w:val="center"/>
              <w:rPr>
                <w:rFonts w:ascii="宋体" w:hAnsi="宋体"/>
                <w:sz w:val="21"/>
                <w:szCs w:val="28"/>
              </w:rPr>
            </w:pPr>
            <w:r>
              <w:rPr>
                <w:rFonts w:hint="eastAsia" w:ascii="宋体" w:hAnsi="宋体"/>
                <w:sz w:val="21"/>
                <w:szCs w:val="28"/>
              </w:rPr>
              <w:t>供应商名称</w:t>
            </w:r>
          </w:p>
        </w:tc>
        <w:tc>
          <w:tcPr>
            <w:tcW w:w="8211" w:type="dxa"/>
            <w:gridSpan w:val="3"/>
            <w:vAlign w:val="center"/>
          </w:tcPr>
          <w:p>
            <w:pPr>
              <w:spacing w:line="360" w:lineRule="auto"/>
              <w:jc w:val="center"/>
              <w:rPr>
                <w:rFonts w:ascii="宋体" w:hAnsi="宋体"/>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575" w:type="dxa"/>
            <w:vAlign w:val="center"/>
          </w:tcPr>
          <w:p>
            <w:pPr>
              <w:spacing w:line="360" w:lineRule="auto"/>
              <w:jc w:val="center"/>
              <w:rPr>
                <w:rFonts w:ascii="宋体" w:hAnsi="宋体"/>
                <w:sz w:val="21"/>
                <w:szCs w:val="28"/>
              </w:rPr>
            </w:pPr>
            <w:r>
              <w:rPr>
                <w:rFonts w:hint="eastAsia" w:ascii="宋体" w:hAnsi="宋体"/>
                <w:sz w:val="21"/>
                <w:szCs w:val="28"/>
              </w:rPr>
              <w:t>服务次数（次）</w:t>
            </w:r>
          </w:p>
        </w:tc>
        <w:tc>
          <w:tcPr>
            <w:tcW w:w="3429" w:type="dxa"/>
            <w:vAlign w:val="center"/>
          </w:tcPr>
          <w:p>
            <w:pPr>
              <w:spacing w:line="360" w:lineRule="auto"/>
              <w:jc w:val="center"/>
              <w:rPr>
                <w:rFonts w:ascii="宋体" w:hAnsi="宋体"/>
                <w:sz w:val="21"/>
                <w:szCs w:val="28"/>
              </w:rPr>
            </w:pPr>
            <w:r>
              <w:rPr>
                <w:rFonts w:hint="eastAsia" w:ascii="宋体" w:hAnsi="宋体"/>
                <w:sz w:val="21"/>
                <w:szCs w:val="28"/>
              </w:rPr>
              <w:t>单次服务价（元）</w:t>
            </w:r>
          </w:p>
        </w:tc>
        <w:tc>
          <w:tcPr>
            <w:tcW w:w="3150" w:type="dxa"/>
            <w:vAlign w:val="center"/>
          </w:tcPr>
          <w:p>
            <w:pPr>
              <w:spacing w:line="360" w:lineRule="auto"/>
              <w:jc w:val="center"/>
              <w:rPr>
                <w:rFonts w:ascii="宋体" w:hAnsi="宋体"/>
                <w:sz w:val="21"/>
                <w:szCs w:val="28"/>
              </w:rPr>
            </w:pPr>
            <w:r>
              <w:rPr>
                <w:rFonts w:hint="eastAsia" w:ascii="宋体" w:hAnsi="宋体"/>
                <w:sz w:val="21"/>
                <w:szCs w:val="28"/>
              </w:rPr>
              <w:t>投标总价（元）</w:t>
            </w:r>
          </w:p>
        </w:tc>
        <w:tc>
          <w:tcPr>
            <w:tcW w:w="1632" w:type="dxa"/>
            <w:vAlign w:val="center"/>
          </w:tcPr>
          <w:p>
            <w:pPr>
              <w:spacing w:line="360" w:lineRule="auto"/>
              <w:jc w:val="center"/>
              <w:rPr>
                <w:rFonts w:ascii="宋体" w:hAnsi="宋体"/>
                <w:sz w:val="21"/>
                <w:szCs w:val="28"/>
              </w:rPr>
            </w:pPr>
            <w:r>
              <w:rPr>
                <w:rFonts w:hint="eastAsia" w:ascii="宋体" w:hAnsi="宋体"/>
                <w:sz w:val="21"/>
                <w:szCs w:val="28"/>
              </w:rPr>
              <w:t>交付期（天）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575" w:type="dxa"/>
            <w:tcBorders>
              <w:bottom w:val="single" w:color="auto" w:sz="4" w:space="0"/>
            </w:tcBorders>
            <w:vAlign w:val="center"/>
          </w:tcPr>
          <w:p>
            <w:pPr>
              <w:spacing w:line="360" w:lineRule="auto"/>
              <w:jc w:val="center"/>
              <w:rPr>
                <w:rFonts w:ascii="宋体" w:hAnsi="宋体"/>
                <w:sz w:val="21"/>
                <w:szCs w:val="28"/>
              </w:rPr>
            </w:pPr>
          </w:p>
        </w:tc>
        <w:tc>
          <w:tcPr>
            <w:tcW w:w="3429" w:type="dxa"/>
            <w:tcBorders>
              <w:bottom w:val="single" w:color="auto" w:sz="4" w:space="0"/>
            </w:tcBorders>
          </w:tcPr>
          <w:p>
            <w:pPr>
              <w:spacing w:line="360" w:lineRule="auto"/>
              <w:rPr>
                <w:rFonts w:ascii="宋体" w:hAnsi="宋体"/>
                <w:sz w:val="21"/>
                <w:szCs w:val="28"/>
              </w:rPr>
            </w:pPr>
          </w:p>
        </w:tc>
        <w:tc>
          <w:tcPr>
            <w:tcW w:w="3150" w:type="dxa"/>
            <w:tcBorders>
              <w:bottom w:val="single" w:color="auto" w:sz="4" w:space="0"/>
            </w:tcBorders>
          </w:tcPr>
          <w:p>
            <w:pPr>
              <w:spacing w:line="360" w:lineRule="auto"/>
              <w:rPr>
                <w:rFonts w:ascii="宋体" w:hAnsi="宋体"/>
                <w:sz w:val="21"/>
                <w:szCs w:val="28"/>
              </w:rPr>
            </w:pPr>
          </w:p>
        </w:tc>
        <w:tc>
          <w:tcPr>
            <w:tcW w:w="1632" w:type="dxa"/>
            <w:tcBorders>
              <w:bottom w:val="single" w:color="auto" w:sz="4" w:space="0"/>
            </w:tcBorders>
          </w:tcPr>
          <w:p>
            <w:pPr>
              <w:spacing w:line="360" w:lineRule="auto"/>
              <w:rPr>
                <w:rFonts w:ascii="宋体" w:hAnsi="宋体"/>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786" w:type="dxa"/>
            <w:gridSpan w:val="4"/>
            <w:tcBorders>
              <w:bottom w:val="single" w:color="auto" w:sz="4" w:space="0"/>
            </w:tcBorders>
            <w:vAlign w:val="center"/>
          </w:tcPr>
          <w:p>
            <w:pPr>
              <w:spacing w:line="360" w:lineRule="auto"/>
              <w:rPr>
                <w:rFonts w:ascii="宋体" w:hAnsi="宋体"/>
                <w:sz w:val="21"/>
                <w:szCs w:val="28"/>
              </w:rPr>
            </w:pPr>
            <w:r>
              <w:rPr>
                <w:rFonts w:hint="eastAsia" w:ascii="宋体" w:hAnsi="宋体"/>
                <w:sz w:val="21"/>
                <w:szCs w:val="28"/>
              </w:rPr>
              <w:t xml:space="preserve">投标总价（大写）：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786" w:type="dxa"/>
            <w:gridSpan w:val="4"/>
            <w:vAlign w:val="center"/>
          </w:tcPr>
          <w:p>
            <w:pPr>
              <w:pStyle w:val="33"/>
              <w:spacing w:line="360" w:lineRule="auto"/>
              <w:rPr>
                <w:rFonts w:ascii="宋体" w:hAnsi="宋体"/>
                <w:sz w:val="21"/>
                <w:szCs w:val="28"/>
              </w:rPr>
            </w:pPr>
            <w:r>
              <w:rPr>
                <w:rFonts w:hint="eastAsia" w:ascii="宋体" w:hAnsi="宋体"/>
                <w:sz w:val="21"/>
                <w:szCs w:val="28"/>
              </w:rPr>
              <w:t>备注：</w:t>
            </w:r>
          </w:p>
        </w:tc>
      </w:tr>
    </w:tbl>
    <w:p>
      <w:pPr>
        <w:pStyle w:val="33"/>
        <w:spacing w:line="360" w:lineRule="auto"/>
        <w:rPr>
          <w:rFonts w:ascii="宋体" w:hAnsi="宋体"/>
          <w:sz w:val="24"/>
          <w:szCs w:val="28"/>
        </w:rPr>
      </w:pPr>
    </w:p>
    <w:p>
      <w:pPr>
        <w:spacing w:line="360" w:lineRule="auto"/>
        <w:rPr>
          <w:rFonts w:ascii="宋体" w:hAnsi="宋体"/>
        </w:rPr>
      </w:pP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法定代表人授权代表：</w:t>
      </w:r>
    </w:p>
    <w:p>
      <w:pPr>
        <w:spacing w:line="360" w:lineRule="auto"/>
        <w:rPr>
          <w:rFonts w:ascii="宋体" w:hAnsi="宋体"/>
          <w:sz w:val="24"/>
          <w:szCs w:val="28"/>
        </w:rPr>
      </w:pPr>
      <w:r>
        <w:rPr>
          <w:rFonts w:hint="eastAsia" w:ascii="宋体" w:hAnsi="宋体"/>
          <w:sz w:val="24"/>
          <w:szCs w:val="28"/>
        </w:rPr>
        <w:t xml:space="preserve">  （供应商公章）                               （签字或盖章）</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年     月     日</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说明：</w:t>
      </w:r>
    </w:p>
    <w:p>
      <w:pPr>
        <w:snapToGrid w:val="0"/>
        <w:spacing w:line="360" w:lineRule="auto"/>
        <w:ind w:firstLine="480" w:firstLineChars="200"/>
        <w:rPr>
          <w:rFonts w:ascii="宋体" w:hAnsi="宋体"/>
          <w:sz w:val="24"/>
          <w:szCs w:val="28"/>
        </w:rPr>
      </w:pPr>
      <w:r>
        <w:rPr>
          <w:rFonts w:hint="eastAsia" w:ascii="宋体" w:hAnsi="宋体"/>
          <w:sz w:val="24"/>
          <w:szCs w:val="28"/>
        </w:rPr>
        <w:t>1、报价一览表按格式填列；</w:t>
      </w:r>
    </w:p>
    <w:p>
      <w:pPr>
        <w:snapToGrid w:val="0"/>
        <w:spacing w:line="360" w:lineRule="auto"/>
        <w:ind w:firstLine="480" w:firstLineChars="200"/>
        <w:rPr>
          <w:rFonts w:ascii="宋体" w:hAnsi="宋体"/>
          <w:sz w:val="24"/>
          <w:szCs w:val="28"/>
        </w:rPr>
      </w:pPr>
      <w:r>
        <w:rPr>
          <w:rFonts w:hint="eastAsia" w:ascii="宋体" w:hAnsi="宋体"/>
          <w:sz w:val="24"/>
          <w:szCs w:val="28"/>
        </w:rPr>
        <w:t>2、若以联合体参与投标的，应在“供应商名称”处注明所有联合体名称。</w:t>
      </w:r>
    </w:p>
    <w:p>
      <w:pPr>
        <w:snapToGrid w:val="0"/>
        <w:spacing w:line="360" w:lineRule="auto"/>
        <w:ind w:firstLine="560" w:firstLineChars="200"/>
        <w:rPr>
          <w:rFonts w:ascii="宋体" w:hAnsi="宋体"/>
          <w:sz w:val="24"/>
          <w:szCs w:val="28"/>
        </w:rPr>
      </w:pPr>
      <w:r>
        <w:rPr>
          <w:rFonts w:hint="eastAsia" w:ascii="宋体" w:hAnsi="宋体"/>
          <w:szCs w:val="28"/>
        </w:rPr>
        <w:br w:type="page"/>
      </w:r>
      <w:r>
        <w:rPr>
          <w:rFonts w:hint="eastAsia" w:ascii="宋体" w:hAnsi="宋体"/>
          <w:szCs w:val="36"/>
        </w:rPr>
        <w:t>（二）分项报价明细表</w:t>
      </w:r>
    </w:p>
    <w:p>
      <w:pPr>
        <w:spacing w:line="360" w:lineRule="auto"/>
        <w:rPr>
          <w:rFonts w:ascii="宋体" w:hAnsi="宋体"/>
          <w:sz w:val="24"/>
          <w:szCs w:val="28"/>
        </w:rPr>
      </w:pPr>
      <w:r>
        <w:rPr>
          <w:rFonts w:hint="eastAsia" w:ascii="宋体" w:hAnsi="宋体"/>
          <w:sz w:val="24"/>
          <w:szCs w:val="28"/>
        </w:rPr>
        <w:t>项目名称：</w:t>
      </w:r>
    </w:p>
    <w:p>
      <w:pPr>
        <w:spacing w:line="360" w:lineRule="auto"/>
        <w:rPr>
          <w:rFonts w:ascii="宋体" w:hAnsi="宋体"/>
          <w:sz w:val="24"/>
          <w:szCs w:val="28"/>
        </w:rPr>
      </w:pPr>
      <w:r>
        <w:rPr>
          <w:rFonts w:hint="eastAsia" w:ascii="宋体" w:hAnsi="宋体"/>
          <w:sz w:val="24"/>
          <w:szCs w:val="28"/>
        </w:rPr>
        <w:t xml:space="preserve">                                                         单位：元</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05"/>
        <w:gridCol w:w="2220"/>
        <w:gridCol w:w="720"/>
        <w:gridCol w:w="832"/>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3" w:type="dxa"/>
            <w:vAlign w:val="center"/>
          </w:tcPr>
          <w:p>
            <w:pPr>
              <w:spacing w:line="360" w:lineRule="auto"/>
              <w:jc w:val="center"/>
              <w:rPr>
                <w:rFonts w:ascii="宋体" w:hAnsi="宋体"/>
                <w:b/>
                <w:sz w:val="21"/>
                <w:szCs w:val="21"/>
              </w:rPr>
            </w:pPr>
            <w:r>
              <w:rPr>
                <w:rFonts w:hint="eastAsia" w:ascii="宋体" w:hAnsi="宋体"/>
                <w:b/>
                <w:sz w:val="21"/>
                <w:szCs w:val="21"/>
              </w:rPr>
              <w:t>序号</w:t>
            </w:r>
          </w:p>
        </w:tc>
        <w:tc>
          <w:tcPr>
            <w:tcW w:w="1305" w:type="dxa"/>
            <w:vAlign w:val="center"/>
          </w:tcPr>
          <w:p>
            <w:pPr>
              <w:spacing w:line="360" w:lineRule="auto"/>
              <w:jc w:val="center"/>
              <w:rPr>
                <w:rFonts w:ascii="宋体" w:hAnsi="宋体"/>
                <w:b/>
                <w:sz w:val="21"/>
                <w:szCs w:val="21"/>
              </w:rPr>
            </w:pPr>
            <w:r>
              <w:rPr>
                <w:rFonts w:hint="eastAsia" w:ascii="宋体" w:hAnsi="宋体"/>
                <w:b/>
                <w:sz w:val="21"/>
                <w:szCs w:val="21"/>
              </w:rPr>
              <w:t>服务名称</w:t>
            </w:r>
          </w:p>
        </w:tc>
        <w:tc>
          <w:tcPr>
            <w:tcW w:w="2220" w:type="dxa"/>
            <w:vAlign w:val="center"/>
          </w:tcPr>
          <w:p>
            <w:pPr>
              <w:spacing w:line="360" w:lineRule="auto"/>
              <w:jc w:val="center"/>
              <w:rPr>
                <w:rFonts w:ascii="宋体" w:hAnsi="宋体"/>
                <w:b/>
                <w:sz w:val="21"/>
                <w:szCs w:val="21"/>
              </w:rPr>
            </w:pPr>
            <w:r>
              <w:rPr>
                <w:rFonts w:hint="eastAsia" w:ascii="宋体" w:hAnsi="宋体"/>
                <w:b/>
                <w:sz w:val="21"/>
                <w:szCs w:val="21"/>
              </w:rPr>
              <w:t>具体服务内容</w:t>
            </w:r>
          </w:p>
        </w:tc>
        <w:tc>
          <w:tcPr>
            <w:tcW w:w="720" w:type="dxa"/>
            <w:vAlign w:val="center"/>
          </w:tcPr>
          <w:p>
            <w:pPr>
              <w:spacing w:line="360" w:lineRule="auto"/>
              <w:jc w:val="center"/>
              <w:rPr>
                <w:rFonts w:ascii="宋体" w:hAnsi="宋体"/>
                <w:b/>
                <w:sz w:val="21"/>
                <w:szCs w:val="21"/>
              </w:rPr>
            </w:pPr>
            <w:r>
              <w:rPr>
                <w:rFonts w:hint="eastAsia" w:ascii="宋体" w:hAnsi="宋体"/>
                <w:b/>
                <w:sz w:val="21"/>
                <w:szCs w:val="21"/>
              </w:rPr>
              <w:t>单价</w:t>
            </w:r>
          </w:p>
        </w:tc>
        <w:tc>
          <w:tcPr>
            <w:tcW w:w="832" w:type="dxa"/>
            <w:vAlign w:val="center"/>
          </w:tcPr>
          <w:p>
            <w:pPr>
              <w:spacing w:line="360" w:lineRule="auto"/>
              <w:jc w:val="center"/>
              <w:rPr>
                <w:rFonts w:ascii="宋体" w:hAnsi="宋体"/>
                <w:b/>
                <w:sz w:val="21"/>
                <w:szCs w:val="21"/>
              </w:rPr>
            </w:pPr>
            <w:r>
              <w:rPr>
                <w:rFonts w:hint="eastAsia" w:ascii="宋体" w:hAnsi="宋体"/>
                <w:b/>
                <w:sz w:val="21"/>
                <w:szCs w:val="21"/>
              </w:rPr>
              <w:t>数量</w:t>
            </w:r>
          </w:p>
        </w:tc>
        <w:tc>
          <w:tcPr>
            <w:tcW w:w="2238" w:type="dxa"/>
            <w:vAlign w:val="center"/>
          </w:tcPr>
          <w:p>
            <w:pPr>
              <w:spacing w:line="360" w:lineRule="auto"/>
              <w:jc w:val="center"/>
              <w:rPr>
                <w:rFonts w:ascii="宋体" w:hAnsi="宋体"/>
                <w:b/>
                <w:sz w:val="21"/>
                <w:szCs w:val="21"/>
              </w:rPr>
            </w:pPr>
            <w:r>
              <w:rPr>
                <w:rFonts w:hint="eastAsia" w:ascii="宋体" w:hAns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1</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2</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3</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4</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5</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6</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7</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8</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9</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10</w:t>
            </w:r>
          </w:p>
        </w:tc>
        <w:tc>
          <w:tcPr>
            <w:tcW w:w="1305" w:type="dxa"/>
            <w:vAlign w:val="center"/>
          </w:tcPr>
          <w:p>
            <w:pPr>
              <w:spacing w:line="360" w:lineRule="auto"/>
              <w:jc w:val="center"/>
              <w:rPr>
                <w:rFonts w:ascii="宋体" w:hAnsi="宋体"/>
                <w:sz w:val="21"/>
                <w:szCs w:val="21"/>
              </w:rPr>
            </w:pP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11</w:t>
            </w:r>
          </w:p>
        </w:tc>
        <w:tc>
          <w:tcPr>
            <w:tcW w:w="1305" w:type="dxa"/>
            <w:vAlign w:val="center"/>
          </w:tcPr>
          <w:p>
            <w:pPr>
              <w:spacing w:line="360" w:lineRule="auto"/>
              <w:jc w:val="center"/>
              <w:rPr>
                <w:rFonts w:ascii="宋体" w:hAnsi="宋体"/>
                <w:sz w:val="21"/>
                <w:szCs w:val="21"/>
              </w:rPr>
            </w:pPr>
            <w:r>
              <w:rPr>
                <w:rFonts w:hint="eastAsia" w:ascii="宋体" w:hAnsi="宋体"/>
                <w:sz w:val="21"/>
                <w:szCs w:val="21"/>
              </w:rPr>
              <w:t>……</w:t>
            </w:r>
          </w:p>
        </w:tc>
        <w:tc>
          <w:tcPr>
            <w:tcW w:w="2220" w:type="dxa"/>
          </w:tcPr>
          <w:p>
            <w:pPr>
              <w:spacing w:line="360" w:lineRule="auto"/>
              <w:jc w:val="center"/>
              <w:rPr>
                <w:rFonts w:ascii="宋体" w:hAnsi="宋体"/>
                <w:sz w:val="21"/>
                <w:szCs w:val="21"/>
              </w:rPr>
            </w:pPr>
          </w:p>
        </w:tc>
        <w:tc>
          <w:tcPr>
            <w:tcW w:w="720" w:type="dxa"/>
          </w:tcPr>
          <w:p>
            <w:pPr>
              <w:spacing w:line="360" w:lineRule="auto"/>
              <w:jc w:val="center"/>
              <w:rPr>
                <w:rFonts w:ascii="宋体" w:hAnsi="宋体"/>
                <w:sz w:val="21"/>
                <w:szCs w:val="21"/>
              </w:rPr>
            </w:pPr>
          </w:p>
        </w:tc>
        <w:tc>
          <w:tcPr>
            <w:tcW w:w="832" w:type="dxa"/>
          </w:tcPr>
          <w:p>
            <w:pPr>
              <w:spacing w:line="360" w:lineRule="auto"/>
              <w:jc w:val="center"/>
              <w:rPr>
                <w:rFonts w:ascii="宋体" w:hAnsi="宋体"/>
                <w:sz w:val="21"/>
                <w:szCs w:val="21"/>
              </w:rPr>
            </w:pPr>
          </w:p>
        </w:tc>
        <w:tc>
          <w:tcPr>
            <w:tcW w:w="2238" w:type="dxa"/>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vAlign w:val="center"/>
          </w:tcPr>
          <w:p>
            <w:pPr>
              <w:pStyle w:val="23"/>
              <w:spacing w:line="360" w:lineRule="auto"/>
              <w:ind w:left="0"/>
              <w:jc w:val="center"/>
              <w:outlineLvl w:val="0"/>
              <w:rPr>
                <w:rFonts w:ascii="宋体" w:hAnsi="宋体"/>
                <w:sz w:val="21"/>
                <w:szCs w:val="21"/>
              </w:rPr>
            </w:pPr>
            <w:r>
              <w:rPr>
                <w:rFonts w:hint="eastAsia" w:ascii="宋体" w:hAnsi="宋体"/>
                <w:sz w:val="21"/>
                <w:szCs w:val="21"/>
              </w:rPr>
              <w:t>12</w:t>
            </w:r>
          </w:p>
        </w:tc>
        <w:tc>
          <w:tcPr>
            <w:tcW w:w="1305" w:type="dxa"/>
            <w:vAlign w:val="center"/>
          </w:tcPr>
          <w:p>
            <w:pPr>
              <w:spacing w:line="360" w:lineRule="auto"/>
              <w:jc w:val="center"/>
              <w:rPr>
                <w:rFonts w:ascii="宋体" w:hAnsi="宋体"/>
                <w:sz w:val="21"/>
                <w:szCs w:val="21"/>
              </w:rPr>
            </w:pPr>
            <w:r>
              <w:rPr>
                <w:rFonts w:hint="eastAsia" w:ascii="宋体" w:hAnsi="宋体"/>
                <w:sz w:val="21"/>
                <w:szCs w:val="21"/>
              </w:rPr>
              <w:t>总计</w:t>
            </w:r>
          </w:p>
        </w:tc>
        <w:tc>
          <w:tcPr>
            <w:tcW w:w="6010" w:type="dxa"/>
            <w:gridSpan w:val="4"/>
          </w:tcPr>
          <w:p>
            <w:pPr>
              <w:spacing w:line="360" w:lineRule="auto"/>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600" w:firstLineChars="250"/>
        <w:rPr>
          <w:rFonts w:ascii="宋体" w:hAnsi="宋体"/>
          <w:sz w:val="24"/>
          <w:szCs w:val="28"/>
        </w:rPr>
      </w:pPr>
      <w:r>
        <w:rPr>
          <w:rFonts w:hint="eastAsia" w:ascii="宋体" w:hAnsi="宋体"/>
          <w:sz w:val="24"/>
          <w:szCs w:val="28"/>
        </w:rPr>
        <w:t>供应商：                                  法定代表人授权代表：</w:t>
      </w:r>
    </w:p>
    <w:p>
      <w:pPr>
        <w:spacing w:line="360" w:lineRule="auto"/>
        <w:rPr>
          <w:rFonts w:ascii="宋体" w:hAnsi="宋体"/>
          <w:sz w:val="24"/>
          <w:szCs w:val="28"/>
        </w:rPr>
      </w:pPr>
      <w:r>
        <w:rPr>
          <w:rFonts w:hint="eastAsia" w:ascii="宋体" w:hAnsi="宋体"/>
          <w:sz w:val="24"/>
          <w:szCs w:val="28"/>
        </w:rPr>
        <w:t xml:space="preserve">  （供应商公章）                               （签字或盖章）</w:t>
      </w:r>
    </w:p>
    <w:p>
      <w:pPr>
        <w:spacing w:line="360" w:lineRule="auto"/>
        <w:rPr>
          <w:rFonts w:ascii="宋体" w:hAnsi="宋体"/>
          <w:sz w:val="24"/>
          <w:szCs w:val="28"/>
        </w:rPr>
      </w:pPr>
    </w:p>
    <w:p>
      <w:pPr>
        <w:spacing w:line="360" w:lineRule="auto"/>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 xml:space="preserve">                                            年     月     日</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1、请供应商完整填写本表；</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2、该表可扩展，并逐页签字或盖章。</w:t>
      </w:r>
    </w:p>
    <w:p>
      <w:pPr>
        <w:pStyle w:val="3"/>
        <w:pageBreakBefore/>
        <w:rPr>
          <w:b/>
          <w:szCs w:val="28"/>
        </w:rPr>
      </w:pPr>
      <w:bookmarkStart w:id="63" w:name="_Toc441065695"/>
      <w:bookmarkStart w:id="64" w:name="_Toc429584885"/>
      <w:bookmarkStart w:id="65" w:name="_Toc2414"/>
      <w:r>
        <w:rPr>
          <w:rFonts w:hint="eastAsia"/>
          <w:b/>
          <w:szCs w:val="28"/>
        </w:rPr>
        <w:t>二、资格文件</w:t>
      </w:r>
      <w:bookmarkEnd w:id="63"/>
      <w:bookmarkEnd w:id="64"/>
      <w:bookmarkEnd w:id="65"/>
    </w:p>
    <w:p>
      <w:pPr>
        <w:tabs>
          <w:tab w:val="left" w:pos="6300"/>
        </w:tabs>
        <w:snapToGrid w:val="0"/>
        <w:spacing w:line="360" w:lineRule="auto"/>
        <w:ind w:firstLine="570"/>
        <w:rPr>
          <w:rFonts w:ascii="宋体" w:hAnsi="宋体"/>
        </w:rPr>
      </w:pPr>
      <w:r>
        <w:rPr>
          <w:rFonts w:hint="eastAsia" w:ascii="宋体" w:hAnsi="宋体"/>
        </w:rPr>
        <w:t>（一）营业执照（副本）</w:t>
      </w:r>
      <w:r>
        <w:rPr>
          <w:rFonts w:hint="eastAsia" w:ascii="宋体" w:hAnsi="宋体"/>
          <w:szCs w:val="28"/>
        </w:rPr>
        <w:t>或事业单位法人证书（副本）</w:t>
      </w:r>
      <w:r>
        <w:rPr>
          <w:rFonts w:hint="eastAsia" w:ascii="宋体" w:hAnsi="宋体"/>
        </w:rPr>
        <w:t>复印件</w:t>
      </w:r>
    </w:p>
    <w:p>
      <w:pPr>
        <w:tabs>
          <w:tab w:val="left" w:pos="6300"/>
        </w:tabs>
        <w:snapToGrid w:val="0"/>
        <w:spacing w:line="360" w:lineRule="auto"/>
        <w:ind w:firstLine="570"/>
        <w:rPr>
          <w:rFonts w:ascii="宋体" w:hAnsi="宋体"/>
        </w:rPr>
      </w:pPr>
    </w:p>
    <w:p>
      <w:pPr>
        <w:tabs>
          <w:tab w:val="left" w:pos="6300"/>
        </w:tabs>
        <w:snapToGrid w:val="0"/>
        <w:spacing w:line="360" w:lineRule="auto"/>
        <w:ind w:firstLine="570"/>
        <w:rPr>
          <w:rFonts w:ascii="宋体" w:hAnsi="宋体"/>
        </w:rPr>
      </w:pPr>
      <w:r>
        <w:rPr>
          <w:rFonts w:hint="eastAsia" w:ascii="宋体" w:hAnsi="宋体"/>
        </w:rPr>
        <w:t>（二）组织机构代码证复印件</w:t>
      </w:r>
    </w:p>
    <w:p>
      <w:pPr>
        <w:tabs>
          <w:tab w:val="left" w:pos="6300"/>
        </w:tabs>
        <w:snapToGrid w:val="0"/>
        <w:spacing w:line="360" w:lineRule="auto"/>
        <w:rPr>
          <w:rFonts w:ascii="宋体" w:hAnsi="宋体"/>
        </w:rPr>
      </w:pPr>
    </w:p>
    <w:p>
      <w:pPr>
        <w:snapToGrid w:val="0"/>
        <w:spacing w:before="120" w:beforeLines="50" w:line="360" w:lineRule="auto"/>
        <w:jc w:val="center"/>
        <w:rPr>
          <w:rFonts w:ascii="宋体" w:hAnsi="宋体"/>
          <w:szCs w:val="28"/>
        </w:rPr>
      </w:pPr>
      <w:r>
        <w:rPr>
          <w:rFonts w:hint="eastAsia" w:ascii="宋体" w:hAnsi="宋体"/>
        </w:rPr>
        <w:br w:type="page"/>
      </w:r>
      <w:r>
        <w:rPr>
          <w:rFonts w:hint="eastAsia" w:ascii="宋体" w:hAnsi="宋体"/>
          <w:szCs w:val="28"/>
        </w:rPr>
        <w:t>（三）竞争性磋商参与函（格式）</w:t>
      </w:r>
    </w:p>
    <w:p>
      <w:pPr>
        <w:spacing w:line="360" w:lineRule="auto"/>
        <w:rPr>
          <w:rFonts w:ascii="宋体" w:hAnsi="宋体"/>
          <w:sz w:val="24"/>
          <w:szCs w:val="28"/>
        </w:rPr>
      </w:pPr>
    </w:p>
    <w:p>
      <w:pPr>
        <w:spacing w:line="360" w:lineRule="auto"/>
        <w:rPr>
          <w:rFonts w:ascii="宋体" w:hAnsi="宋体"/>
          <w:sz w:val="24"/>
          <w:szCs w:val="28"/>
          <w:u w:val="single"/>
        </w:rPr>
      </w:pPr>
      <w:r>
        <w:rPr>
          <w:rFonts w:hint="eastAsia" w:ascii="宋体" w:hAnsi="宋体"/>
          <w:sz w:val="24"/>
          <w:szCs w:val="28"/>
        </w:rPr>
        <w:t>项目名称：</w:t>
      </w:r>
      <w:r>
        <w:rPr>
          <w:rFonts w:hint="eastAsia" w:ascii="宋体" w:hAnsi="宋体"/>
          <w:sz w:val="24"/>
          <w:szCs w:val="28"/>
          <w:u w:val="single"/>
        </w:rPr>
        <w:t xml:space="preserve">                                             </w:t>
      </w:r>
    </w:p>
    <w:p>
      <w:pPr>
        <w:spacing w:line="360" w:lineRule="auto"/>
        <w:rPr>
          <w:rFonts w:ascii="宋体" w:hAnsi="宋体"/>
          <w:sz w:val="24"/>
          <w:szCs w:val="28"/>
        </w:rPr>
      </w:pPr>
    </w:p>
    <w:p>
      <w:pPr>
        <w:tabs>
          <w:tab w:val="left" w:pos="6300"/>
        </w:tabs>
        <w:snapToGrid w:val="0"/>
        <w:spacing w:line="360" w:lineRule="auto"/>
        <w:rPr>
          <w:rFonts w:ascii="宋体" w:hAnsi="宋体"/>
          <w:sz w:val="24"/>
          <w:szCs w:val="28"/>
        </w:rPr>
      </w:pPr>
      <w:r>
        <w:rPr>
          <w:rFonts w:hint="eastAsia" w:ascii="宋体" w:hAnsi="宋体"/>
          <w:sz w:val="24"/>
          <w:szCs w:val="28"/>
        </w:rPr>
        <w:t>致：</w:t>
      </w:r>
      <w:r>
        <w:rPr>
          <w:rFonts w:hint="eastAsia" w:ascii="宋体" w:hAnsi="宋体"/>
          <w:sz w:val="24"/>
          <w:szCs w:val="28"/>
          <w:u w:val="single"/>
        </w:rPr>
        <w:t xml:space="preserve">                    </w:t>
      </w:r>
      <w:r>
        <w:rPr>
          <w:rFonts w:hint="eastAsia" w:ascii="宋体" w:hAnsi="宋体"/>
          <w:sz w:val="24"/>
          <w:szCs w:val="28"/>
        </w:rPr>
        <w:t>（采购人名称）：</w:t>
      </w:r>
    </w:p>
    <w:p>
      <w:pPr>
        <w:snapToGrid w:val="0"/>
        <w:spacing w:before="120" w:beforeLines="50" w:line="360" w:lineRule="auto"/>
        <w:ind w:firstLine="480" w:firstLineChars="200"/>
        <w:rPr>
          <w:rFonts w:ascii="宋体" w:hAnsi="宋体"/>
          <w:sz w:val="24"/>
          <w:szCs w:val="28"/>
        </w:rPr>
      </w:pPr>
      <w:r>
        <w:rPr>
          <w:rFonts w:hint="eastAsia" w:ascii="宋体" w:hAnsi="宋体"/>
          <w:sz w:val="24"/>
          <w:szCs w:val="28"/>
          <w:u w:val="single"/>
        </w:rPr>
        <w:t xml:space="preserve">                        </w:t>
      </w:r>
      <w:r>
        <w:rPr>
          <w:rFonts w:hint="eastAsia" w:ascii="宋体" w:hAnsi="宋体"/>
          <w:sz w:val="24"/>
          <w:szCs w:val="28"/>
        </w:rPr>
        <w:t>（供应商名称）系中华人民共和国合法企业，注册地址：</w:t>
      </w:r>
      <w:r>
        <w:rPr>
          <w:rFonts w:hint="eastAsia" w:ascii="宋体" w:hAnsi="宋体"/>
          <w:sz w:val="24"/>
          <w:szCs w:val="28"/>
          <w:u w:val="single"/>
        </w:rPr>
        <w:t xml:space="preserve">                               </w:t>
      </w:r>
      <w:r>
        <w:rPr>
          <w:rFonts w:hint="eastAsia" w:ascii="宋体" w:hAnsi="宋体"/>
          <w:sz w:val="24"/>
          <w:szCs w:val="28"/>
        </w:rPr>
        <w:t>。我方就参加本次参与磋商有关事项郑重声明如下：</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一、我方完全理解并接受该项目磋商文件所有要求。</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二、我方提交的所有响应文件、资料都是准确和真实的，如有虚假或隐瞒，我方愿意承担一切法律责任。</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三、我方承诺按照磋商文件要求，提供项目的技术服务。</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四、我方按磋商文件要求提交的响应文件为：响应文件正本1份，副本  份。</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五、我方承诺：本次提交响应文件有效期为90天。</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六、我方最后报价为闭口价。即在响应文件有效期和合同有效期内，该报价固定不变。</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七、如果我方中标，我方将履行磋商文件中规定的各项要求以及我方响应文件的各项承诺，按《政府采购法》、《合同法》及合同约定条款承担我方责任。</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八、我方未</w:t>
      </w:r>
      <w:r>
        <w:rPr>
          <w:rFonts w:hint="eastAsia" w:ascii="宋体" w:hAnsi="宋体"/>
          <w:sz w:val="24"/>
          <w:szCs w:val="24"/>
        </w:rPr>
        <w:t>为采购项目提供整体设计、规范编制或者项目管理、监理、检测等服务。</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九、我方理解，最低报价不是中标的唯一条件。</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十、我方同意按有关规定及磋商文件要求，缴纳足额投标保证金。</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十一、我方同意按磋商文件中标公示内容要求进行公示，自愿接受监督。</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十二、我方保证不围标、不串标、不卖标、不转包、不违法分包、不接受挂靠，不允许他人以自己名义投标。</w:t>
      </w:r>
    </w:p>
    <w:p>
      <w:pPr>
        <w:tabs>
          <w:tab w:val="left" w:pos="6300"/>
        </w:tabs>
        <w:snapToGrid w:val="0"/>
        <w:spacing w:line="360" w:lineRule="auto"/>
        <w:ind w:firstLine="5460" w:firstLineChars="2275"/>
        <w:rPr>
          <w:rFonts w:ascii="宋体" w:hAnsi="宋体"/>
          <w:sz w:val="24"/>
          <w:szCs w:val="28"/>
        </w:rPr>
      </w:pPr>
      <w:r>
        <w:rPr>
          <w:rFonts w:hint="eastAsia" w:ascii="宋体" w:hAnsi="宋体"/>
          <w:sz w:val="24"/>
          <w:szCs w:val="28"/>
        </w:rPr>
        <w:t>（供应商公章）</w:t>
      </w:r>
    </w:p>
    <w:p>
      <w:pPr>
        <w:tabs>
          <w:tab w:val="left" w:pos="6300"/>
        </w:tabs>
        <w:snapToGrid w:val="0"/>
        <w:spacing w:line="360" w:lineRule="auto"/>
        <w:ind w:firstLine="570"/>
        <w:rPr>
          <w:rFonts w:ascii="宋体" w:hAnsi="宋体"/>
          <w:sz w:val="24"/>
          <w:szCs w:val="28"/>
        </w:rPr>
      </w:pPr>
    </w:p>
    <w:p>
      <w:pPr>
        <w:tabs>
          <w:tab w:val="left" w:pos="6300"/>
        </w:tabs>
        <w:snapToGrid w:val="0"/>
        <w:spacing w:line="360" w:lineRule="auto"/>
        <w:ind w:firstLine="5760" w:firstLineChars="2400"/>
        <w:rPr>
          <w:rFonts w:ascii="宋体" w:hAnsi="宋体"/>
          <w:szCs w:val="28"/>
        </w:rPr>
      </w:pPr>
      <w:r>
        <w:rPr>
          <w:rFonts w:hint="eastAsia" w:ascii="宋体" w:hAnsi="宋体"/>
          <w:sz w:val="24"/>
          <w:szCs w:val="28"/>
        </w:rPr>
        <w:t>年    月   日</w:t>
      </w:r>
    </w:p>
    <w:p>
      <w:pPr>
        <w:widowControl/>
        <w:spacing w:line="360" w:lineRule="auto"/>
        <w:ind w:firstLine="560" w:firstLineChars="200"/>
        <w:jc w:val="left"/>
        <w:rPr>
          <w:rFonts w:ascii="宋体" w:hAnsi="宋体"/>
        </w:rPr>
      </w:pPr>
    </w:p>
    <w:p>
      <w:pPr>
        <w:widowControl/>
        <w:spacing w:line="360" w:lineRule="auto"/>
        <w:ind w:firstLine="560" w:firstLineChars="200"/>
        <w:jc w:val="left"/>
        <w:rPr>
          <w:rFonts w:ascii="宋体" w:hAnsi="宋体"/>
        </w:rPr>
      </w:pPr>
    </w:p>
    <w:p>
      <w:pPr>
        <w:widowControl/>
        <w:spacing w:line="360" w:lineRule="auto"/>
        <w:ind w:firstLine="560" w:firstLineChars="200"/>
        <w:jc w:val="left"/>
        <w:rPr>
          <w:rFonts w:ascii="宋体" w:hAnsi="宋体"/>
        </w:rPr>
      </w:pPr>
    </w:p>
    <w:p>
      <w:pPr>
        <w:widowControl/>
        <w:spacing w:line="360" w:lineRule="auto"/>
        <w:ind w:firstLine="560" w:firstLineChars="200"/>
        <w:jc w:val="left"/>
        <w:rPr>
          <w:rFonts w:ascii="宋体" w:hAnsi="宋体"/>
        </w:rPr>
      </w:pPr>
      <w:r>
        <w:rPr>
          <w:rFonts w:hint="eastAsia" w:ascii="宋体" w:hAnsi="宋体"/>
        </w:rPr>
        <w:br w:type="page"/>
      </w:r>
      <w:r>
        <w:rPr>
          <w:rFonts w:hint="eastAsia" w:ascii="宋体" w:hAnsi="宋体"/>
        </w:rPr>
        <w:t>（四）法定代表人身份证明书（格式）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项目名称：</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（采购人名称）：</w:t>
      </w:r>
    </w:p>
    <w:p>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特此证明。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rPr>
      </w:pPr>
    </w:p>
    <w:p>
      <w:pPr>
        <w:tabs>
          <w:tab w:val="left" w:pos="6300"/>
        </w:tabs>
        <w:snapToGrid w:val="0"/>
        <w:spacing w:line="360" w:lineRule="auto"/>
        <w:rPr>
          <w:rFonts w:ascii="宋体" w:hAnsi="宋体"/>
        </w:rPr>
      </w:pPr>
    </w:p>
    <w:p>
      <w:pPr>
        <w:tabs>
          <w:tab w:val="left" w:pos="6300"/>
        </w:tabs>
        <w:snapToGrid w:val="0"/>
        <w:spacing w:line="360" w:lineRule="auto"/>
        <w:rPr>
          <w:rFonts w:ascii="宋体" w:hAnsi="宋体"/>
        </w:rPr>
      </w:pPr>
    </w:p>
    <w:p>
      <w:pPr>
        <w:tabs>
          <w:tab w:val="left" w:pos="6300"/>
        </w:tabs>
        <w:snapToGrid w:val="0"/>
        <w:spacing w:line="360" w:lineRule="auto"/>
        <w:rPr>
          <w:rFonts w:ascii="宋体" w:hAnsi="宋体"/>
        </w:rPr>
      </w:pPr>
    </w:p>
    <w:p>
      <w:pPr>
        <w:tabs>
          <w:tab w:val="left" w:pos="6300"/>
        </w:tabs>
        <w:snapToGrid w:val="0"/>
        <w:spacing w:line="360" w:lineRule="auto"/>
        <w:rPr>
          <w:rFonts w:ascii="宋体" w:hAnsi="宋体"/>
        </w:rPr>
      </w:pPr>
    </w:p>
    <w:p>
      <w:pPr>
        <w:tabs>
          <w:tab w:val="left" w:pos="6300"/>
        </w:tabs>
        <w:snapToGrid w:val="0"/>
        <w:spacing w:line="360" w:lineRule="auto"/>
        <w:rPr>
          <w:rFonts w:ascii="宋体" w:hAnsi="宋体"/>
        </w:rPr>
      </w:pPr>
      <w:r>
        <w:rPr>
          <w:rFonts w:hint="eastAsia" w:ascii="宋体" w:hAnsi="宋体"/>
        </w:rPr>
        <w:br w:type="page"/>
      </w:r>
      <w:r>
        <w:rPr>
          <w:rFonts w:hint="eastAsia" w:ascii="宋体" w:hAnsi="宋体"/>
        </w:rPr>
        <w:t>（五）法定代表人授权委托书（格式）</w:t>
      </w:r>
    </w:p>
    <w:p>
      <w:pPr>
        <w:tabs>
          <w:tab w:val="left" w:pos="6300"/>
        </w:tabs>
        <w:snapToGrid w:val="0"/>
        <w:spacing w:line="360" w:lineRule="auto"/>
        <w:ind w:firstLine="570"/>
        <w:rPr>
          <w:rFonts w:ascii="宋体" w:hAnsi="宋体"/>
          <w:sz w:val="24"/>
        </w:rPr>
      </w:pPr>
      <w:r>
        <w:rPr>
          <w:rFonts w:hint="eastAsia" w:ascii="宋体" w:hAnsi="宋体"/>
          <w:sz w:val="24"/>
        </w:rPr>
        <w:t xml:space="preserve">    </w:t>
      </w:r>
    </w:p>
    <w:p>
      <w:pPr>
        <w:tabs>
          <w:tab w:val="left" w:pos="6300"/>
        </w:tabs>
        <w:snapToGrid w:val="0"/>
        <w:spacing w:line="360" w:lineRule="auto"/>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（采购人名称）：</w:t>
      </w:r>
    </w:p>
    <w:p>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我单位对被授权人的签字负全部责任。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pPr>
        <w:tabs>
          <w:tab w:val="left" w:pos="6300"/>
        </w:tabs>
        <w:snapToGrid w:val="0"/>
        <w:spacing w:line="360" w:lineRule="auto"/>
        <w:ind w:firstLine="570"/>
        <w:rPr>
          <w:rFonts w:ascii="宋体" w:hAnsi="宋体"/>
          <w:sz w:val="24"/>
          <w:szCs w:val="28"/>
        </w:rPr>
      </w:pPr>
      <w:r>
        <w:rPr>
          <w:rFonts w:hint="eastAsia" w:ascii="宋体" w:hAnsi="宋体"/>
          <w:sz w:val="24"/>
          <w:szCs w:val="28"/>
        </w:rPr>
        <w:t>（签字或盖章）                                （签字或盖章）</w:t>
      </w:r>
    </w:p>
    <w:p>
      <w:pPr>
        <w:tabs>
          <w:tab w:val="left" w:pos="6300"/>
        </w:tabs>
        <w:snapToGrid w:val="0"/>
        <w:spacing w:line="360" w:lineRule="auto"/>
        <w:ind w:firstLine="570"/>
        <w:rPr>
          <w:rFonts w:ascii="宋体" w:hAnsi="宋体"/>
          <w:sz w:val="24"/>
          <w:szCs w:val="28"/>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360" w:lineRule="auto"/>
        <w:ind w:firstLine="570"/>
        <w:rPr>
          <w:rFonts w:ascii="宋体" w:hAnsi="宋体"/>
          <w:sz w:val="24"/>
        </w:rPr>
      </w:pPr>
      <w:r>
        <w:rPr>
          <w:rFonts w:hint="eastAsia" w:ascii="宋体" w:hAnsi="宋体"/>
          <w:sz w:val="24"/>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pPr>
        <w:tabs>
          <w:tab w:val="left" w:pos="6300"/>
        </w:tabs>
        <w:snapToGrid w:val="0"/>
        <w:spacing w:line="360" w:lineRule="auto"/>
        <w:rPr>
          <w:rFonts w:ascii="宋体" w:hAnsi="宋体"/>
        </w:rPr>
      </w:pPr>
    </w:p>
    <w:p>
      <w:pPr>
        <w:tabs>
          <w:tab w:val="left" w:pos="6300"/>
        </w:tabs>
        <w:snapToGrid w:val="0"/>
        <w:spacing w:line="360" w:lineRule="auto"/>
        <w:rPr>
          <w:rFonts w:ascii="宋体" w:hAnsi="宋体"/>
        </w:rPr>
      </w:pPr>
    </w:p>
    <w:p>
      <w:pPr>
        <w:tabs>
          <w:tab w:val="left" w:pos="6300"/>
        </w:tabs>
        <w:snapToGrid w:val="0"/>
        <w:spacing w:line="360" w:lineRule="auto"/>
        <w:rPr>
          <w:rFonts w:ascii="宋体" w:hAnsi="宋体"/>
        </w:rPr>
      </w:pPr>
    </w:p>
    <w:p>
      <w:pPr>
        <w:tabs>
          <w:tab w:val="left" w:pos="6300"/>
        </w:tabs>
        <w:snapToGrid w:val="0"/>
        <w:spacing w:line="360" w:lineRule="auto"/>
        <w:rPr>
          <w:rFonts w:ascii="宋体" w:hAnsi="宋体"/>
          <w:sz w:val="24"/>
        </w:rPr>
      </w:pPr>
      <w:r>
        <w:rPr>
          <w:rFonts w:hint="eastAsia" w:ascii="宋体" w:hAnsi="宋体"/>
        </w:rPr>
        <w:br w:type="column"/>
      </w:r>
      <w:r>
        <w:rPr>
          <w:rFonts w:hint="eastAsia" w:ascii="宋体" w:hAnsi="宋体"/>
        </w:rPr>
        <w:t>（六）书面声明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20" w:firstLineChars="200"/>
        <w:rPr>
          <w:rFonts w:ascii="宋体" w:hAnsi="宋体"/>
          <w:sz w:val="21"/>
          <w:szCs w:val="21"/>
        </w:rPr>
      </w:pPr>
      <w:r>
        <w:rPr>
          <w:rFonts w:hint="eastAsia" w:ascii="宋体" w:hAnsi="宋体"/>
          <w:sz w:val="21"/>
          <w:szCs w:val="21"/>
        </w:rPr>
        <w:t>致：采购人</w:t>
      </w:r>
    </w:p>
    <w:p>
      <w:pPr>
        <w:tabs>
          <w:tab w:val="left" w:pos="6300"/>
        </w:tabs>
        <w:snapToGrid w:val="0"/>
        <w:spacing w:line="360" w:lineRule="auto"/>
        <w:ind w:firstLine="420" w:firstLineChars="200"/>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投标人名称）郑重声明，我公司具有良好的商业信誉，具有履行合同所必需的设备和专业技术能力，有依法缴纳税收和社会保障资金的良好记录，参加本项目采购活动前三年内无重大违法活动记录，符合《中华人民共和国政府采购法》第二十二条规定条件，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420" w:firstLineChars="200"/>
        <w:rPr>
          <w:rFonts w:ascii="宋体" w:hAnsi="宋体"/>
          <w:sz w:val="21"/>
          <w:szCs w:val="21"/>
        </w:rPr>
      </w:pPr>
    </w:p>
    <w:p>
      <w:pPr>
        <w:tabs>
          <w:tab w:val="left" w:pos="6300"/>
        </w:tabs>
        <w:snapToGrid w:val="0"/>
        <w:spacing w:line="360" w:lineRule="auto"/>
        <w:ind w:firstLine="420" w:firstLineChars="200"/>
        <w:rPr>
          <w:rFonts w:ascii="宋体" w:hAnsi="宋体"/>
          <w:sz w:val="21"/>
          <w:szCs w:val="21"/>
        </w:rPr>
      </w:pPr>
      <w:r>
        <w:rPr>
          <w:rFonts w:hint="eastAsia" w:ascii="宋体" w:hAnsi="宋体"/>
          <w:sz w:val="21"/>
          <w:szCs w:val="21"/>
        </w:rPr>
        <w:t>特此声明。</w:t>
      </w:r>
    </w:p>
    <w:p>
      <w:pPr>
        <w:tabs>
          <w:tab w:val="left" w:pos="6300"/>
        </w:tabs>
        <w:snapToGrid w:val="0"/>
        <w:spacing w:line="360" w:lineRule="auto"/>
        <w:ind w:firstLine="570"/>
        <w:rPr>
          <w:rFonts w:ascii="宋体" w:hAnsi="宋体"/>
          <w:sz w:val="21"/>
          <w:szCs w:val="21"/>
        </w:rPr>
      </w:pPr>
    </w:p>
    <w:p>
      <w:pPr>
        <w:tabs>
          <w:tab w:val="left" w:pos="6300"/>
        </w:tabs>
        <w:snapToGrid w:val="0"/>
        <w:spacing w:line="360" w:lineRule="auto"/>
        <w:ind w:firstLine="570"/>
        <w:rPr>
          <w:rFonts w:ascii="宋体" w:hAnsi="宋体"/>
          <w:sz w:val="21"/>
          <w:szCs w:val="21"/>
        </w:rPr>
      </w:pPr>
    </w:p>
    <w:p>
      <w:pPr>
        <w:tabs>
          <w:tab w:val="left" w:pos="6300"/>
        </w:tabs>
        <w:snapToGrid w:val="0"/>
        <w:spacing w:line="360" w:lineRule="auto"/>
        <w:ind w:firstLine="570"/>
        <w:rPr>
          <w:rFonts w:ascii="宋体" w:hAnsi="宋体"/>
          <w:sz w:val="21"/>
          <w:szCs w:val="21"/>
        </w:rPr>
      </w:pPr>
    </w:p>
    <w:p>
      <w:pPr>
        <w:tabs>
          <w:tab w:val="left" w:pos="6300"/>
        </w:tabs>
        <w:snapToGrid w:val="0"/>
        <w:spacing w:line="360" w:lineRule="auto"/>
        <w:ind w:right="424" w:firstLine="570"/>
        <w:jc w:val="right"/>
        <w:rPr>
          <w:rFonts w:ascii="宋体" w:hAnsi="宋体"/>
          <w:sz w:val="21"/>
          <w:szCs w:val="21"/>
        </w:rPr>
      </w:pPr>
      <w:r>
        <w:rPr>
          <w:rFonts w:hint="eastAsia" w:ascii="宋体" w:hAnsi="宋体"/>
          <w:sz w:val="21"/>
          <w:szCs w:val="21"/>
        </w:rPr>
        <w:t>（投标人公章）</w:t>
      </w:r>
    </w:p>
    <w:p>
      <w:pPr>
        <w:tabs>
          <w:tab w:val="left" w:pos="6300"/>
        </w:tabs>
        <w:snapToGrid w:val="0"/>
        <w:spacing w:line="360" w:lineRule="auto"/>
        <w:ind w:right="480" w:firstLine="570"/>
        <w:jc w:val="right"/>
        <w:rPr>
          <w:rFonts w:ascii="宋体" w:hAnsi="宋体"/>
          <w:sz w:val="21"/>
          <w:szCs w:val="21"/>
        </w:rPr>
      </w:pPr>
      <w:r>
        <w:rPr>
          <w:rFonts w:hint="eastAsia" w:ascii="宋体" w:hAnsi="宋体"/>
          <w:sz w:val="21"/>
          <w:szCs w:val="21"/>
        </w:rPr>
        <w:t>年   月   日</w:t>
      </w:r>
    </w:p>
    <w:p>
      <w:pPr>
        <w:tabs>
          <w:tab w:val="left" w:pos="6300"/>
        </w:tabs>
        <w:snapToGrid w:val="0"/>
        <w:spacing w:line="360" w:lineRule="auto"/>
        <w:ind w:firstLine="560" w:firstLineChars="200"/>
        <w:rPr>
          <w:rFonts w:ascii="宋体" w:hAnsi="宋体"/>
        </w:rPr>
      </w:pPr>
    </w:p>
    <w:p>
      <w:pPr>
        <w:tabs>
          <w:tab w:val="left" w:pos="6300"/>
        </w:tabs>
        <w:snapToGrid w:val="0"/>
        <w:spacing w:line="360" w:lineRule="auto"/>
        <w:rPr>
          <w:rFonts w:ascii="宋体" w:hAnsi="宋体"/>
        </w:rPr>
      </w:pPr>
      <w:r>
        <w:rPr>
          <w:rFonts w:hint="eastAsia" w:ascii="宋体" w:hAnsi="宋体"/>
        </w:rPr>
        <w:t xml:space="preserve">    （七）税务登记证（副本）复印件和社会保险缴纳证明材料</w:t>
      </w:r>
    </w:p>
    <w:p>
      <w:pPr>
        <w:tabs>
          <w:tab w:val="left" w:pos="6300"/>
        </w:tabs>
        <w:snapToGrid w:val="0"/>
        <w:spacing w:line="360" w:lineRule="auto"/>
        <w:ind w:firstLine="560" w:firstLineChars="200"/>
        <w:rPr>
          <w:rFonts w:ascii="宋体" w:hAnsi="宋体"/>
        </w:rPr>
      </w:pPr>
      <w:r>
        <w:rPr>
          <w:rFonts w:hint="eastAsia" w:ascii="宋体" w:hAnsi="宋体"/>
        </w:rPr>
        <w:t>（八）特定资格条件证书或证明文件</w:t>
      </w:r>
    </w:p>
    <w:p>
      <w:pPr>
        <w:tabs>
          <w:tab w:val="left" w:pos="6300"/>
        </w:tabs>
        <w:snapToGrid w:val="0"/>
        <w:spacing w:line="360" w:lineRule="auto"/>
        <w:ind w:firstLine="560" w:firstLineChars="200"/>
        <w:rPr>
          <w:rFonts w:ascii="宋体" w:hAnsi="宋体"/>
          <w:sz w:val="24"/>
        </w:rPr>
      </w:pPr>
      <w:r>
        <w:rPr>
          <w:rFonts w:hint="eastAsia" w:ascii="宋体" w:hAnsi="宋体"/>
        </w:rPr>
        <w:t>说明：供应商按“三证合一”登记制度办理营业执照的，组织机构代码证和税务登记证以供应商所提供的营业执照（副本）复印件为准。</w:t>
      </w:r>
    </w:p>
    <w:p>
      <w:pPr>
        <w:pStyle w:val="3"/>
        <w:pageBreakBefore/>
        <w:rPr>
          <w:b/>
          <w:szCs w:val="28"/>
        </w:rPr>
      </w:pPr>
      <w:bookmarkStart w:id="66" w:name="_Toc429584886"/>
      <w:bookmarkStart w:id="67" w:name="_Toc441065696"/>
      <w:bookmarkStart w:id="68" w:name="_Toc31700"/>
      <w:r>
        <w:rPr>
          <w:rFonts w:hint="eastAsia"/>
          <w:b/>
          <w:szCs w:val="28"/>
        </w:rPr>
        <w:t>三、服务响应文件</w:t>
      </w:r>
      <w:bookmarkEnd w:id="66"/>
      <w:bookmarkEnd w:id="67"/>
      <w:bookmarkEnd w:id="68"/>
    </w:p>
    <w:p>
      <w:pPr>
        <w:snapToGrid w:val="0"/>
        <w:spacing w:line="360" w:lineRule="auto"/>
        <w:ind w:left="241" w:leftChars="86"/>
        <w:rPr>
          <w:rFonts w:ascii="宋体" w:hAnsi="宋体"/>
          <w:sz w:val="24"/>
          <w:szCs w:val="24"/>
        </w:rPr>
      </w:pPr>
      <w:r>
        <w:rPr>
          <w:rFonts w:hint="eastAsia" w:ascii="宋体" w:hAnsi="宋体"/>
          <w:szCs w:val="24"/>
        </w:rPr>
        <w:t>（一）服务具体方案</w:t>
      </w:r>
    </w:p>
    <w:p>
      <w:pPr>
        <w:widowControl/>
        <w:spacing w:line="360" w:lineRule="auto"/>
        <w:jc w:val="left"/>
        <w:rPr>
          <w:rFonts w:ascii="宋体" w:hAnsi="宋体"/>
        </w:rPr>
      </w:pPr>
      <w:r>
        <w:rPr>
          <w:rFonts w:hint="eastAsia" w:ascii="宋体" w:hAnsi="宋体"/>
          <w:szCs w:val="24"/>
        </w:rPr>
        <w:t xml:space="preserve">  </w:t>
      </w:r>
      <w:r>
        <w:rPr>
          <w:rFonts w:hint="eastAsia" w:ascii="宋体" w:hAnsi="宋体"/>
          <w:sz w:val="24"/>
        </w:rPr>
        <w:t>依据磋商文件第二篇的服务具体要求，采购人自行制定服务具体方案。</w:t>
      </w:r>
      <w:r>
        <w:rPr>
          <w:rFonts w:hint="eastAsia" w:ascii="宋体" w:hAnsi="宋体"/>
          <w:szCs w:val="44"/>
        </w:rPr>
        <w:br w:type="page"/>
      </w:r>
      <w:r>
        <w:rPr>
          <w:rFonts w:hint="eastAsia" w:ascii="宋体" w:hAnsi="宋体"/>
          <w:szCs w:val="28"/>
        </w:rPr>
        <w:t>（二）商务承诺</w:t>
      </w:r>
    </w:p>
    <w:p>
      <w:pPr>
        <w:spacing w:line="360" w:lineRule="auto"/>
        <w:rPr>
          <w:rFonts w:ascii="宋体" w:hAnsi="宋体"/>
        </w:rPr>
      </w:pPr>
      <w:r>
        <w:rPr>
          <w:rFonts w:hint="eastAsia" w:ascii="宋体" w:hAnsi="宋体"/>
        </w:rPr>
        <w:t>2.1付款方式；</w:t>
      </w:r>
    </w:p>
    <w:p>
      <w:pPr>
        <w:spacing w:line="360" w:lineRule="auto"/>
        <w:rPr>
          <w:rFonts w:ascii="宋体" w:hAnsi="宋体"/>
        </w:rPr>
      </w:pPr>
      <w:r>
        <w:rPr>
          <w:rFonts w:hint="eastAsia" w:ascii="宋体" w:hAnsi="宋体"/>
        </w:rPr>
        <w:t>2.2售后服务能力情况；</w:t>
      </w:r>
    </w:p>
    <w:p>
      <w:pPr>
        <w:spacing w:line="360" w:lineRule="auto"/>
        <w:rPr>
          <w:rFonts w:ascii="宋体" w:hAnsi="宋体"/>
        </w:rPr>
      </w:pPr>
      <w:r>
        <w:rPr>
          <w:rFonts w:hint="eastAsia" w:ascii="宋体" w:hAnsi="宋体"/>
        </w:rPr>
        <w:t>2.3培训；</w:t>
      </w:r>
    </w:p>
    <w:p>
      <w:pPr>
        <w:spacing w:line="360" w:lineRule="auto"/>
        <w:rPr>
          <w:rFonts w:ascii="宋体" w:hAnsi="宋体"/>
        </w:rPr>
      </w:pPr>
      <w:r>
        <w:rPr>
          <w:rFonts w:hint="eastAsia" w:ascii="宋体" w:hAnsi="宋体"/>
        </w:rPr>
        <w:t>2.4业绩。</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Cs w:val="24"/>
        </w:rPr>
      </w:pPr>
    </w:p>
    <w:p>
      <w:pPr>
        <w:tabs>
          <w:tab w:val="left" w:pos="6300"/>
        </w:tabs>
        <w:snapToGrid w:val="0"/>
        <w:spacing w:line="360" w:lineRule="auto"/>
        <w:ind w:firstLine="570"/>
        <w:rPr>
          <w:rFonts w:ascii="宋体" w:hAnsi="宋体"/>
          <w:szCs w:val="24"/>
        </w:rPr>
      </w:pPr>
      <w:r>
        <w:rPr>
          <w:rFonts w:hint="eastAsia" w:ascii="宋体" w:hAnsi="宋体"/>
          <w:szCs w:val="24"/>
        </w:rPr>
        <w:br w:type="page"/>
      </w:r>
      <w:r>
        <w:rPr>
          <w:rFonts w:hint="eastAsia" w:ascii="宋体" w:hAnsi="宋体"/>
          <w:szCs w:val="24"/>
        </w:rPr>
        <w:t>（三）服务响应条款差异表</w:t>
      </w:r>
    </w:p>
    <w:p>
      <w:pPr>
        <w:spacing w:line="360" w:lineRule="auto"/>
        <w:rPr>
          <w:rFonts w:ascii="宋体" w:hAnsi="宋体"/>
        </w:rPr>
      </w:pPr>
      <w:r>
        <w:rPr>
          <w:rFonts w:hint="eastAsia" w:ascii="宋体" w:hAnsi="宋体"/>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磋商文件要求</w:t>
            </w:r>
          </w:p>
        </w:tc>
        <w:tc>
          <w:tcPr>
            <w:tcW w:w="2520"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应答情况</w:t>
            </w:r>
          </w:p>
        </w:tc>
        <w:tc>
          <w:tcPr>
            <w:tcW w:w="1888"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hAnsi="宋体"/>
                <w:sz w:val="21"/>
                <w:szCs w:val="21"/>
              </w:rPr>
            </w:pPr>
          </w:p>
        </w:tc>
        <w:tc>
          <w:tcPr>
            <w:tcW w:w="2428" w:type="dxa"/>
            <w:vAlign w:val="center"/>
          </w:tcPr>
          <w:p>
            <w:pPr>
              <w:tabs>
                <w:tab w:val="left" w:pos="6300"/>
              </w:tabs>
              <w:snapToGrid w:val="0"/>
              <w:spacing w:line="360" w:lineRule="auto"/>
              <w:jc w:val="center"/>
              <w:outlineLvl w:val="0"/>
              <w:rPr>
                <w:rFonts w:ascii="宋体" w:hAnsi="宋体"/>
                <w:sz w:val="21"/>
                <w:szCs w:val="21"/>
              </w:rPr>
            </w:pPr>
          </w:p>
        </w:tc>
        <w:tc>
          <w:tcPr>
            <w:tcW w:w="2520" w:type="dxa"/>
            <w:vAlign w:val="center"/>
          </w:tcPr>
          <w:p>
            <w:pPr>
              <w:tabs>
                <w:tab w:val="left" w:pos="6300"/>
              </w:tabs>
              <w:snapToGrid w:val="0"/>
              <w:spacing w:line="360" w:lineRule="auto"/>
              <w:jc w:val="center"/>
              <w:outlineLvl w:val="0"/>
              <w:rPr>
                <w:rFonts w:ascii="宋体" w:hAnsi="宋体"/>
                <w:sz w:val="21"/>
                <w:szCs w:val="21"/>
              </w:rPr>
            </w:pPr>
          </w:p>
        </w:tc>
        <w:tc>
          <w:tcPr>
            <w:tcW w:w="1888" w:type="dxa"/>
            <w:vAlign w:val="center"/>
          </w:tcPr>
          <w:p>
            <w:pPr>
              <w:tabs>
                <w:tab w:val="left" w:pos="6300"/>
              </w:tabs>
              <w:snapToGrid w:val="0"/>
              <w:spacing w:line="360" w:lineRule="auto"/>
              <w:jc w:val="center"/>
              <w:outlineLvl w:val="0"/>
              <w:rPr>
                <w:rFonts w:ascii="宋体" w:hAnsi="宋体"/>
                <w:sz w:val="21"/>
                <w:szCs w:val="21"/>
              </w:rPr>
            </w:pPr>
          </w:p>
        </w:tc>
      </w:tr>
    </w:tbl>
    <w:p>
      <w:pPr>
        <w:spacing w:line="360" w:lineRule="auto"/>
        <w:ind w:firstLine="600" w:firstLineChars="250"/>
        <w:rPr>
          <w:rFonts w:ascii="宋体" w:hAnsi="宋体"/>
          <w:sz w:val="24"/>
          <w:szCs w:val="28"/>
        </w:rPr>
      </w:pPr>
      <w:r>
        <w:rPr>
          <w:rFonts w:hint="eastAsia" w:ascii="宋体" w:hAnsi="宋体"/>
          <w:sz w:val="24"/>
          <w:szCs w:val="28"/>
        </w:rPr>
        <w:t>供应商：                                  法定代表人授权代表：</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570"/>
        <w:rPr>
          <w:rFonts w:ascii="宋体" w:hAnsi="宋体"/>
          <w:sz w:val="24"/>
        </w:rPr>
      </w:pPr>
      <w:r>
        <w:rPr>
          <w:rFonts w:hint="eastAsia" w:ascii="宋体" w:hAnsi="宋体"/>
          <w:sz w:val="24"/>
        </w:rPr>
        <w:t>注：</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1、本表即为对本项目“第二篇 项目具体要求 ”中所列要求进行比较和响应；</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2、该表必须按照磋商文件要求逐条如实填写，根据情况在“差异说明”项填写正偏离或负偏离及原因，完全符合的填写“无差异”；</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4、可附相关技术支撑材料。（格式自定）</w:t>
      </w:r>
    </w:p>
    <w:p>
      <w:pPr>
        <w:tabs>
          <w:tab w:val="left" w:pos="6300"/>
        </w:tabs>
        <w:snapToGrid w:val="0"/>
        <w:spacing w:line="360" w:lineRule="auto"/>
        <w:ind w:firstLine="570"/>
        <w:rPr>
          <w:rFonts w:ascii="宋体" w:hAnsi="宋体"/>
          <w:sz w:val="24"/>
          <w:szCs w:val="24"/>
        </w:rPr>
      </w:pPr>
    </w:p>
    <w:p>
      <w:pPr>
        <w:spacing w:line="360" w:lineRule="auto"/>
        <w:rPr>
          <w:rFonts w:ascii="宋体" w:hAnsi="宋体"/>
        </w:rPr>
      </w:pPr>
    </w:p>
    <w:p>
      <w:pPr>
        <w:spacing w:line="360" w:lineRule="auto"/>
        <w:rPr>
          <w:rFonts w:ascii="宋体" w:hAnsi="宋体"/>
        </w:rPr>
      </w:pPr>
    </w:p>
    <w:p>
      <w:pPr>
        <w:pStyle w:val="3"/>
        <w:pageBreakBefore/>
        <w:rPr>
          <w:b/>
          <w:szCs w:val="28"/>
        </w:rPr>
      </w:pPr>
      <w:bookmarkStart w:id="69" w:name="_Toc441065698"/>
      <w:bookmarkStart w:id="70" w:name="_Toc429584888"/>
      <w:bookmarkStart w:id="71" w:name="_Toc28594"/>
      <w:r>
        <w:rPr>
          <w:rFonts w:hint="eastAsia"/>
          <w:b/>
          <w:szCs w:val="28"/>
        </w:rPr>
        <w:t>四、其他</w:t>
      </w:r>
      <w:bookmarkEnd w:id="69"/>
      <w:bookmarkEnd w:id="70"/>
      <w:bookmarkEnd w:id="71"/>
    </w:p>
    <w:p>
      <w:pPr>
        <w:tabs>
          <w:tab w:val="left" w:pos="6300"/>
        </w:tabs>
        <w:snapToGrid w:val="0"/>
        <w:spacing w:line="360" w:lineRule="auto"/>
        <w:ind w:firstLine="560"/>
        <w:jc w:val="left"/>
        <w:rPr>
          <w:rFonts w:ascii="宋体" w:hAnsi="宋体"/>
          <w:sz w:val="21"/>
          <w:szCs w:val="21"/>
        </w:rPr>
      </w:pPr>
      <w:r>
        <w:rPr>
          <w:rFonts w:hint="eastAsia" w:ascii="宋体" w:hAnsi="宋体"/>
          <w:sz w:val="21"/>
          <w:szCs w:val="21"/>
        </w:rPr>
        <w:t>（一）供应商中小微企业声明函、残疾人福利性单位声明函</w:t>
      </w:r>
    </w:p>
    <w:p>
      <w:pPr>
        <w:spacing w:line="360" w:lineRule="auto"/>
        <w:rPr>
          <w:rFonts w:ascii="宋体" w:hAnsi="宋体"/>
          <w:sz w:val="24"/>
          <w:szCs w:val="24"/>
        </w:rPr>
      </w:pPr>
      <w:r>
        <w:rPr>
          <w:rFonts w:hint="eastAsia" w:ascii="宋体" w:hAnsi="宋体"/>
          <w:sz w:val="24"/>
          <w:szCs w:val="24"/>
        </w:rPr>
        <w:t>1.中小微企业声明函</w:t>
      </w:r>
    </w:p>
    <w:p>
      <w:pPr>
        <w:spacing w:line="360" w:lineRule="auto"/>
        <w:rPr>
          <w:rFonts w:ascii="宋体" w:hAnsi="宋体"/>
          <w:sz w:val="24"/>
          <w:szCs w:val="24"/>
          <w:u w:val="single"/>
        </w:rPr>
      </w:pPr>
      <w:r>
        <w:rPr>
          <w:rFonts w:hint="eastAsia" w:ascii="宋体" w:hAnsi="宋体"/>
          <w:sz w:val="24"/>
          <w:szCs w:val="24"/>
        </w:rPr>
        <w:t xml:space="preserve">项目名称: </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 xml:space="preserve">致: </w:t>
      </w:r>
      <w:r>
        <w:rPr>
          <w:rFonts w:hint="eastAsia" w:ascii="宋体" w:hAnsi="宋体"/>
          <w:sz w:val="24"/>
          <w:szCs w:val="24"/>
          <w:u w:val="single"/>
        </w:rPr>
        <w:t xml:space="preserve">                                     </w:t>
      </w:r>
      <w:r>
        <w:rPr>
          <w:rFonts w:hint="eastAsia" w:ascii="宋体" w:hAnsi="宋体"/>
          <w:sz w:val="24"/>
          <w:szCs w:val="24"/>
        </w:rPr>
        <w:t>(采购人名称)</w:t>
      </w:r>
    </w:p>
    <w:p>
      <w:pPr>
        <w:spacing w:line="360" w:lineRule="auto"/>
        <w:rPr>
          <w:rFonts w:ascii="宋体" w:hAnsi="宋体"/>
          <w:sz w:val="24"/>
          <w:szCs w:val="24"/>
        </w:rPr>
      </w:pPr>
      <w:r>
        <w:rPr>
          <w:rFonts w:hint="eastAsia" w:ascii="宋体" w:hAnsi="宋体"/>
          <w:sz w:val="24"/>
          <w:szCs w:val="24"/>
        </w:rPr>
        <w:t>本企业郑重声明，根据《政府采购促进中小企业发展暂行办法》(财库【2011】181号)的规定，本企业为</w:t>
      </w:r>
      <w:r>
        <w:rPr>
          <w:rFonts w:hint="eastAsia" w:ascii="宋体" w:hAnsi="宋体"/>
          <w:sz w:val="24"/>
          <w:szCs w:val="24"/>
          <w:u w:val="single"/>
        </w:rPr>
        <w:t xml:space="preserve">                 </w:t>
      </w:r>
      <w:r>
        <w:rPr>
          <w:rFonts w:hint="eastAsia" w:ascii="宋体" w:hAnsi="宋体"/>
          <w:sz w:val="24"/>
          <w:szCs w:val="24"/>
        </w:rPr>
        <w:t>(请填写:中型、小型、微型)企业。即，本企业同时满足以下条件:</w:t>
      </w:r>
    </w:p>
    <w:p>
      <w:pPr>
        <w:spacing w:line="360" w:lineRule="auto"/>
        <w:rPr>
          <w:rFonts w:ascii="宋体" w:hAnsi="宋体"/>
          <w:sz w:val="24"/>
          <w:szCs w:val="24"/>
        </w:rPr>
      </w:pPr>
      <w:r>
        <w:rPr>
          <w:rFonts w:hint="eastAsia" w:ascii="宋体" w:hAnsi="宋体"/>
          <w:sz w:val="24"/>
          <w:szCs w:val="24"/>
        </w:rPr>
        <w:t>1.根据《工业和信息化部 国家统计局 国家发展和改革委员会 财政部关于印发中小企业划型标准规定的通知》（工信部联企业【2011】300号)的划分标准，本企业为</w:t>
      </w:r>
      <w:r>
        <w:rPr>
          <w:rFonts w:hint="eastAsia" w:ascii="宋体" w:hAnsi="宋体"/>
          <w:sz w:val="24"/>
          <w:szCs w:val="24"/>
          <w:u w:val="single"/>
        </w:rPr>
        <w:t xml:space="preserve">                 </w:t>
      </w:r>
      <w:r>
        <w:rPr>
          <w:rFonts w:hint="eastAsia" w:ascii="宋体" w:hAnsi="宋体"/>
          <w:sz w:val="24"/>
          <w:szCs w:val="24"/>
        </w:rPr>
        <w:t>行业            (行业类别)的</w:t>
      </w:r>
      <w:r>
        <w:rPr>
          <w:rFonts w:hint="eastAsia" w:ascii="宋体" w:hAnsi="宋体"/>
          <w:sz w:val="24"/>
          <w:szCs w:val="24"/>
          <w:u w:val="single"/>
        </w:rPr>
        <w:t xml:space="preserve">               </w:t>
      </w:r>
      <w:r>
        <w:rPr>
          <w:rFonts w:hint="eastAsia" w:ascii="宋体" w:hAnsi="宋体"/>
          <w:sz w:val="24"/>
          <w:szCs w:val="24"/>
        </w:rPr>
        <w:t>(请填写:中型、小型、微型)企业。</w:t>
      </w:r>
    </w:p>
    <w:p>
      <w:pPr>
        <w:spacing w:line="360" w:lineRule="auto"/>
        <w:rPr>
          <w:rFonts w:ascii="宋体" w:hAnsi="宋体"/>
          <w:sz w:val="24"/>
          <w:szCs w:val="24"/>
        </w:rPr>
      </w:pPr>
      <w:r>
        <w:rPr>
          <w:rFonts w:hint="eastAsia" w:ascii="宋体" w:hAnsi="宋体"/>
          <w:sz w:val="24"/>
          <w:szCs w:val="24"/>
        </w:rPr>
        <w:t>2.本企业参加本项目提供本企业制造的货物、承担的工程或者服务，或者提供他小微企业制造的货物。</w:t>
      </w:r>
    </w:p>
    <w:p>
      <w:pPr>
        <w:spacing w:line="360" w:lineRule="auto"/>
        <w:rPr>
          <w:rFonts w:ascii="宋体" w:hAnsi="宋体"/>
          <w:sz w:val="24"/>
          <w:szCs w:val="24"/>
        </w:rPr>
      </w:pPr>
      <w:r>
        <w:rPr>
          <w:rFonts w:hint="eastAsia" w:ascii="宋体" w:hAnsi="宋体"/>
          <w:sz w:val="24"/>
          <w:szCs w:val="24"/>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625"/>
        <w:gridCol w:w="205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rPr>
                <w:rFonts w:ascii="宋体" w:hAnsi="宋体"/>
                <w:sz w:val="24"/>
                <w:szCs w:val="24"/>
              </w:rPr>
            </w:pPr>
            <w:r>
              <w:rPr>
                <w:rFonts w:hint="eastAsia" w:ascii="宋体" w:hAnsi="宋体"/>
                <w:sz w:val="24"/>
                <w:szCs w:val="24"/>
              </w:rPr>
              <w:t>行业类别</w:t>
            </w:r>
          </w:p>
        </w:tc>
        <w:tc>
          <w:tcPr>
            <w:tcW w:w="2625" w:type="dxa"/>
          </w:tcPr>
          <w:p>
            <w:pPr>
              <w:spacing w:line="360" w:lineRule="auto"/>
              <w:rPr>
                <w:rFonts w:ascii="宋体" w:hAnsi="宋体"/>
                <w:sz w:val="24"/>
                <w:szCs w:val="24"/>
              </w:rPr>
            </w:pPr>
            <w:r>
              <w:rPr>
                <w:rFonts w:hint="eastAsia" w:ascii="宋体" w:hAnsi="宋体"/>
                <w:sz w:val="24"/>
                <w:szCs w:val="24"/>
              </w:rPr>
              <w:t>营业收入(万元)</w:t>
            </w:r>
          </w:p>
        </w:tc>
        <w:tc>
          <w:tcPr>
            <w:tcW w:w="2055" w:type="dxa"/>
          </w:tcPr>
          <w:p>
            <w:pPr>
              <w:spacing w:line="360" w:lineRule="auto"/>
              <w:rPr>
                <w:rFonts w:ascii="宋体" w:hAnsi="宋体"/>
                <w:sz w:val="24"/>
                <w:szCs w:val="24"/>
              </w:rPr>
            </w:pPr>
            <w:r>
              <w:rPr>
                <w:rFonts w:hint="eastAsia" w:ascii="宋体" w:hAnsi="宋体"/>
                <w:sz w:val="24"/>
                <w:szCs w:val="24"/>
              </w:rPr>
              <w:t>从业人员(人)</w:t>
            </w:r>
          </w:p>
        </w:tc>
        <w:tc>
          <w:tcPr>
            <w:tcW w:w="2385" w:type="dxa"/>
          </w:tcPr>
          <w:p>
            <w:pPr>
              <w:spacing w:line="360" w:lineRule="auto"/>
              <w:rPr>
                <w:rFonts w:ascii="宋体" w:hAnsi="宋体"/>
                <w:sz w:val="24"/>
                <w:szCs w:val="24"/>
              </w:rPr>
            </w:pPr>
            <w:r>
              <w:rPr>
                <w:rFonts w:hint="eastAsia" w:ascii="宋体" w:hAnsi="宋体"/>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rPr>
                <w:rFonts w:ascii="宋体" w:hAnsi="宋体"/>
                <w:sz w:val="24"/>
                <w:szCs w:val="24"/>
              </w:rPr>
            </w:pPr>
          </w:p>
        </w:tc>
        <w:tc>
          <w:tcPr>
            <w:tcW w:w="2625" w:type="dxa"/>
          </w:tcPr>
          <w:p>
            <w:pPr>
              <w:spacing w:line="360" w:lineRule="auto"/>
              <w:rPr>
                <w:rFonts w:ascii="宋体" w:hAnsi="宋体"/>
                <w:sz w:val="24"/>
                <w:szCs w:val="24"/>
              </w:rPr>
            </w:pPr>
          </w:p>
        </w:tc>
        <w:tc>
          <w:tcPr>
            <w:tcW w:w="2055" w:type="dxa"/>
          </w:tcPr>
          <w:p>
            <w:pPr>
              <w:spacing w:line="360" w:lineRule="auto"/>
              <w:rPr>
                <w:rFonts w:ascii="宋体" w:hAnsi="宋体"/>
                <w:sz w:val="24"/>
                <w:szCs w:val="24"/>
              </w:rPr>
            </w:pPr>
          </w:p>
        </w:tc>
        <w:tc>
          <w:tcPr>
            <w:tcW w:w="2385" w:type="dxa"/>
          </w:tcPr>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sz w:val="24"/>
          <w:szCs w:val="24"/>
        </w:rPr>
        <w:t>本企业对上述声明的真实性负责。如有虚假，将依法承担相应责任。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供应商名称(公章)：</w:t>
      </w:r>
    </w:p>
    <w:p>
      <w:pPr>
        <w:spacing w:line="360" w:lineRule="auto"/>
        <w:rPr>
          <w:rFonts w:ascii="宋体" w:hAnsi="宋体"/>
          <w:sz w:val="24"/>
          <w:szCs w:val="24"/>
        </w:rPr>
      </w:pPr>
      <w:r>
        <w:rPr>
          <w:rFonts w:hint="eastAsia" w:ascii="宋体" w:hAnsi="宋体"/>
          <w:sz w:val="24"/>
          <w:szCs w:val="24"/>
        </w:rPr>
        <w:t>年  月  日</w:t>
      </w:r>
    </w:p>
    <w:p>
      <w:pPr>
        <w:spacing w:line="360" w:lineRule="auto"/>
        <w:rPr>
          <w:rFonts w:ascii="宋体" w:hAnsi="宋体"/>
          <w:sz w:val="24"/>
          <w:szCs w:val="24"/>
        </w:rPr>
      </w:pPr>
      <w:r>
        <w:rPr>
          <w:rFonts w:hint="eastAsia" w:ascii="宋体" w:hAnsi="宋体"/>
          <w:sz w:val="24"/>
          <w:szCs w:val="24"/>
        </w:rPr>
        <w:t>填写《企业基本情况表》时，应注意以下事项:</w:t>
      </w:r>
    </w:p>
    <w:p>
      <w:pPr>
        <w:spacing w:line="360" w:lineRule="auto"/>
        <w:rPr>
          <w:rFonts w:ascii="宋体" w:hAnsi="宋体"/>
          <w:sz w:val="24"/>
          <w:szCs w:val="24"/>
        </w:rPr>
      </w:pPr>
      <w:r>
        <w:rPr>
          <w:rFonts w:hint="eastAsia" w:ascii="宋体" w:hAnsi="宋体"/>
          <w:sz w:val="24"/>
          <w:szCs w:val="24"/>
        </w:rPr>
        <w:t>1.除建筑业、房地产开发经营、租赁和商务服务业三个行业</w:t>
      </w:r>
    </w:p>
    <w:p>
      <w:pPr>
        <w:spacing w:line="360" w:lineRule="auto"/>
        <w:rPr>
          <w:rFonts w:ascii="宋体" w:hAnsi="宋体"/>
          <w:sz w:val="24"/>
          <w:szCs w:val="24"/>
        </w:rPr>
      </w:pPr>
      <w:r>
        <w:rPr>
          <w:rFonts w:hint="eastAsia" w:ascii="宋体" w:hAnsi="宋体"/>
          <w:sz w:val="24"/>
          <w:szCs w:val="24"/>
        </w:rPr>
        <w:t>外，其余行业无需填写资产总额项。</w:t>
      </w:r>
    </w:p>
    <w:p>
      <w:pPr>
        <w:spacing w:line="360" w:lineRule="auto"/>
        <w:rPr>
          <w:rFonts w:ascii="宋体" w:hAnsi="宋体"/>
          <w:sz w:val="24"/>
          <w:szCs w:val="24"/>
        </w:rPr>
      </w:pPr>
      <w:r>
        <w:rPr>
          <w:rFonts w:hint="eastAsia" w:ascii="宋体" w:hAnsi="宋体"/>
          <w:sz w:val="24"/>
          <w:szCs w:val="24"/>
        </w:rPr>
        <w:t>2.农、林、牧、渔业无需填写从业人员和资产总额项。</w:t>
      </w:r>
    </w:p>
    <w:p>
      <w:pPr>
        <w:spacing w:line="360" w:lineRule="auto"/>
        <w:rPr>
          <w:rFonts w:ascii="宋体" w:hAnsi="宋体"/>
          <w:sz w:val="24"/>
          <w:szCs w:val="24"/>
        </w:rPr>
      </w:pPr>
      <w:r>
        <w:rPr>
          <w:rFonts w:hint="eastAsia" w:ascii="宋体" w:hAnsi="宋体"/>
          <w:sz w:val="24"/>
          <w:szCs w:val="24"/>
        </w:rPr>
        <w:t>3.小微企业投标(供应)的产品若涉及到其他企业制造且符合扶持小微企业政策的，还需提供所涉及的其他企业的《中小微企业声明函》，否则将不被认定为小微企业。</w:t>
      </w:r>
    </w:p>
    <w:p>
      <w:pPr>
        <w:spacing w:line="360" w:lineRule="auto"/>
        <w:rPr>
          <w:rFonts w:ascii="宋体" w:hAnsi="宋体"/>
        </w:rPr>
      </w:pPr>
    </w:p>
    <w:p>
      <w:pPr>
        <w:pStyle w:val="28"/>
        <w:framePr w:wrap="around"/>
        <w:rPr>
          <w:rFonts w:ascii="宋体" w:hAnsi="宋体"/>
        </w:rPr>
      </w:pPr>
    </w:p>
    <w:p>
      <w:pPr>
        <w:spacing w:line="360" w:lineRule="auto"/>
        <w:rPr>
          <w:rFonts w:ascii="宋体" w:hAnsi="宋体"/>
        </w:rPr>
      </w:pPr>
    </w:p>
    <w:p>
      <w:pPr>
        <w:pStyle w:val="28"/>
        <w:framePr w:wrap="around"/>
        <w:rPr>
          <w:rFonts w:ascii="宋体" w:hAnsi="宋体"/>
        </w:rPr>
      </w:pPr>
    </w:p>
    <w:p>
      <w:pPr>
        <w:spacing w:line="360" w:lineRule="auto"/>
        <w:rPr>
          <w:rFonts w:ascii="宋体" w:hAnsi="宋体"/>
        </w:rPr>
      </w:pPr>
    </w:p>
    <w:p>
      <w:pPr>
        <w:pStyle w:val="28"/>
        <w:framePr w:wrap="around"/>
        <w:rPr>
          <w:rFonts w:ascii="宋体" w:hAnsi="宋体"/>
        </w:rPr>
      </w:pPr>
    </w:p>
    <w:p>
      <w:pPr>
        <w:spacing w:line="360" w:lineRule="auto"/>
        <w:rPr>
          <w:rFonts w:ascii="宋体" w:hAnsi="宋体"/>
        </w:rPr>
      </w:pPr>
    </w:p>
    <w:p>
      <w:pPr>
        <w:pStyle w:val="28"/>
        <w:framePr w:wrap="around"/>
        <w:rPr>
          <w:rFonts w:ascii="宋体" w:hAnsi="宋体"/>
        </w:rPr>
      </w:pPr>
    </w:p>
    <w:p>
      <w:pPr>
        <w:spacing w:line="360" w:lineRule="auto"/>
        <w:rPr>
          <w:rFonts w:ascii="宋体" w:hAnsi="宋体"/>
        </w:rPr>
      </w:pPr>
    </w:p>
    <w:p>
      <w:pPr>
        <w:pStyle w:val="28"/>
        <w:framePr w:wrap="around"/>
        <w:rPr>
          <w:rFonts w:ascii="宋体" w:hAnsi="宋体"/>
        </w:rPr>
      </w:pPr>
    </w:p>
    <w:p>
      <w:pPr>
        <w:spacing w:line="360" w:lineRule="auto"/>
        <w:rPr>
          <w:rFonts w:ascii="宋体" w:hAnsi="宋体"/>
        </w:rPr>
      </w:pPr>
    </w:p>
    <w:p>
      <w:pPr>
        <w:pStyle w:val="28"/>
        <w:framePr w:wrap="around"/>
        <w:rPr>
          <w:rFonts w:ascii="宋体" w:hAnsi="宋体"/>
        </w:rPr>
      </w:pPr>
    </w:p>
    <w:p>
      <w:pPr>
        <w:spacing w:line="360" w:lineRule="auto"/>
        <w:rPr>
          <w:rFonts w:ascii="宋体" w:hAnsi="宋体"/>
        </w:rPr>
      </w:pPr>
    </w:p>
    <w:p>
      <w:pPr>
        <w:pStyle w:val="28"/>
        <w:framePr w:wrap="around"/>
        <w:rPr>
          <w:rFonts w:ascii="宋体" w:hAnsi="宋体"/>
        </w:rPr>
      </w:pPr>
    </w:p>
    <w:p>
      <w:pPr>
        <w:spacing w:line="360" w:lineRule="auto"/>
        <w:rPr>
          <w:rFonts w:ascii="宋体" w:hAnsi="宋体"/>
        </w:rPr>
      </w:pPr>
    </w:p>
    <w:p>
      <w:pPr>
        <w:pStyle w:val="28"/>
        <w:framePr w:wrap="around"/>
        <w:rPr>
          <w:rFonts w:ascii="宋体" w:hAnsi="宋体"/>
        </w:rPr>
      </w:pPr>
    </w:p>
    <w:p>
      <w:pPr>
        <w:spacing w:line="360" w:lineRule="auto"/>
        <w:rPr>
          <w:rFonts w:ascii="宋体" w:hAnsi="宋体"/>
        </w:rPr>
      </w:pPr>
    </w:p>
    <w:p>
      <w:pPr>
        <w:pStyle w:val="28"/>
        <w:framePr w:wrap="around"/>
        <w:rPr>
          <w:rFonts w:ascii="宋体" w:hAnsi="宋体"/>
        </w:rPr>
      </w:pPr>
    </w:p>
    <w:p>
      <w:pPr>
        <w:spacing w:line="360" w:lineRule="auto"/>
        <w:rPr>
          <w:rFonts w:ascii="宋体" w:hAnsi="宋体"/>
        </w:rPr>
      </w:pPr>
    </w:p>
    <w:p>
      <w:pPr>
        <w:pStyle w:val="28"/>
        <w:framePr w:wrap="around"/>
        <w:rPr>
          <w:rFonts w:ascii="宋体" w:hAnsi="宋体"/>
        </w:rPr>
      </w:pPr>
    </w:p>
    <w:p>
      <w:pPr>
        <w:spacing w:line="360" w:lineRule="auto"/>
      </w:pPr>
    </w:p>
    <w:p>
      <w:pPr>
        <w:tabs>
          <w:tab w:val="left" w:pos="6300"/>
        </w:tabs>
        <w:snapToGrid w:val="0"/>
        <w:spacing w:line="360" w:lineRule="auto"/>
        <w:ind w:firstLine="420" w:firstLineChars="200"/>
        <w:outlineLvl w:val="0"/>
        <w:rPr>
          <w:rFonts w:ascii="宋体" w:hAnsi="宋体"/>
          <w:sz w:val="21"/>
          <w:szCs w:val="21"/>
        </w:rPr>
      </w:pPr>
    </w:p>
    <w:p>
      <w:pPr>
        <w:tabs>
          <w:tab w:val="left" w:pos="6300"/>
        </w:tabs>
        <w:snapToGrid w:val="0"/>
        <w:spacing w:line="360" w:lineRule="auto"/>
        <w:ind w:firstLine="420" w:firstLineChars="200"/>
        <w:outlineLvl w:val="0"/>
        <w:rPr>
          <w:rFonts w:ascii="宋体" w:hAnsi="宋体"/>
          <w:sz w:val="21"/>
          <w:szCs w:val="21"/>
        </w:rPr>
      </w:pPr>
    </w:p>
    <w:p>
      <w:pPr>
        <w:spacing w:line="360" w:lineRule="auto"/>
        <w:rPr>
          <w:rFonts w:ascii="宋体" w:hAnsi="宋体"/>
        </w:rPr>
      </w:pPr>
      <w:r>
        <w:rPr>
          <w:rFonts w:hint="eastAsia" w:ascii="宋体" w:hAnsi="宋体"/>
        </w:rPr>
        <w:t>2.残疾人福利性单位声明函</w:t>
      </w:r>
    </w:p>
    <w:p>
      <w:pPr>
        <w:spacing w:line="360" w:lineRule="auto"/>
        <w:jc w:val="center"/>
        <w:rPr>
          <w:rFonts w:ascii="宋体" w:hAnsi="宋体"/>
        </w:rPr>
      </w:pPr>
      <w:r>
        <w:rPr>
          <w:rFonts w:hint="eastAsia" w:ascii="宋体" w:hAnsi="宋体"/>
        </w:rPr>
        <w:t>残疾人福利性单位声明函</w:t>
      </w:r>
    </w:p>
    <w:p>
      <w:pPr>
        <w:tabs>
          <w:tab w:val="left" w:pos="6300"/>
        </w:tabs>
        <w:snapToGrid w:val="0"/>
        <w:spacing w:line="360" w:lineRule="auto"/>
        <w:ind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pPr>
        <w:tabs>
          <w:tab w:val="left" w:pos="6300"/>
        </w:tabs>
        <w:snapToGrid w:val="0"/>
        <w:spacing w:line="360" w:lineRule="auto"/>
        <w:ind w:firstLine="420" w:firstLineChars="200"/>
        <w:rPr>
          <w:rFonts w:ascii="宋体" w:hAnsi="宋体"/>
          <w:sz w:val="21"/>
          <w:szCs w:val="21"/>
        </w:rPr>
      </w:pPr>
    </w:p>
    <w:p>
      <w:pPr>
        <w:tabs>
          <w:tab w:val="left" w:pos="6300"/>
        </w:tabs>
        <w:snapToGrid w:val="0"/>
        <w:spacing w:line="360" w:lineRule="auto"/>
        <w:ind w:firstLine="420" w:firstLineChars="200"/>
        <w:rPr>
          <w:rFonts w:ascii="宋体" w:hAnsi="宋体"/>
          <w:sz w:val="21"/>
          <w:szCs w:val="21"/>
        </w:rPr>
      </w:pPr>
    </w:p>
    <w:p>
      <w:pPr>
        <w:tabs>
          <w:tab w:val="left" w:pos="6300"/>
        </w:tabs>
        <w:snapToGrid w:val="0"/>
        <w:spacing w:line="360" w:lineRule="auto"/>
        <w:ind w:firstLine="420" w:firstLineChars="200"/>
        <w:rPr>
          <w:rFonts w:ascii="宋体" w:hAnsi="宋体"/>
          <w:sz w:val="21"/>
          <w:szCs w:val="21"/>
        </w:rPr>
      </w:pPr>
      <w:r>
        <w:rPr>
          <w:rFonts w:hint="eastAsia" w:ascii="宋体" w:hAnsi="宋体"/>
          <w:sz w:val="21"/>
          <w:szCs w:val="21"/>
        </w:rPr>
        <w:t xml:space="preserve">                                                  投标人名称（盖章）：</w:t>
      </w:r>
    </w:p>
    <w:p>
      <w:pPr>
        <w:tabs>
          <w:tab w:val="left" w:pos="6300"/>
        </w:tabs>
        <w:snapToGrid w:val="0"/>
        <w:spacing w:line="360" w:lineRule="auto"/>
        <w:ind w:firstLine="570"/>
        <w:jc w:val="left"/>
        <w:rPr>
          <w:rFonts w:ascii="宋体" w:hAnsi="宋体"/>
          <w:sz w:val="21"/>
          <w:szCs w:val="21"/>
        </w:rPr>
      </w:pPr>
      <w:r>
        <w:rPr>
          <w:rFonts w:hint="eastAsia" w:ascii="宋体" w:hAnsi="宋体"/>
          <w:sz w:val="21"/>
          <w:szCs w:val="21"/>
        </w:rPr>
        <w:t xml:space="preserve">                                                  日  期：</w:t>
      </w: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tabs>
          <w:tab w:val="left" w:pos="6300"/>
        </w:tabs>
        <w:snapToGrid w:val="0"/>
        <w:spacing w:line="360" w:lineRule="auto"/>
        <w:ind w:firstLine="570"/>
        <w:jc w:val="left"/>
        <w:rPr>
          <w:rFonts w:ascii="宋体" w:hAnsi="宋体"/>
        </w:rPr>
      </w:pPr>
    </w:p>
    <w:p>
      <w:pPr>
        <w:spacing w:line="360" w:lineRule="auto"/>
        <w:rPr>
          <w:rFonts w:ascii="宋体" w:hAnsi="宋体"/>
        </w:rPr>
      </w:pPr>
      <w:r>
        <w:rPr>
          <w:rFonts w:hint="eastAsia" w:ascii="宋体" w:hAnsi="宋体"/>
        </w:rPr>
        <w:t>（二）其他与项目有关的资料（自附）</w:t>
      </w:r>
    </w:p>
    <w:p>
      <w:pPr>
        <w:tabs>
          <w:tab w:val="left" w:pos="6300"/>
        </w:tabs>
        <w:snapToGrid w:val="0"/>
        <w:spacing w:line="360" w:lineRule="auto"/>
        <w:ind w:firstLine="570"/>
        <w:jc w:val="left"/>
        <w:rPr>
          <w:rFonts w:ascii="宋体" w:hAnsi="宋体"/>
          <w:sz w:val="24"/>
        </w:rPr>
      </w:pPr>
    </w:p>
    <w:p>
      <w:pPr>
        <w:tabs>
          <w:tab w:val="left" w:pos="6300"/>
        </w:tabs>
        <w:snapToGrid w:val="0"/>
        <w:spacing w:line="360" w:lineRule="auto"/>
        <w:ind w:firstLine="570"/>
        <w:jc w:val="left"/>
        <w:rPr>
          <w:rFonts w:ascii="宋体" w:hAnsi="宋体"/>
          <w:sz w:val="24"/>
        </w:rPr>
      </w:pPr>
    </w:p>
    <w:p>
      <w:pPr>
        <w:tabs>
          <w:tab w:val="left" w:pos="6300"/>
        </w:tabs>
        <w:snapToGrid w:val="0"/>
        <w:spacing w:line="360" w:lineRule="auto"/>
        <w:ind w:firstLine="570"/>
        <w:jc w:val="left"/>
        <w:rPr>
          <w:rFonts w:ascii="宋体" w:hAnsi="宋体"/>
          <w:sz w:val="24"/>
        </w:rPr>
      </w:pPr>
    </w:p>
    <w:p>
      <w:pPr>
        <w:tabs>
          <w:tab w:val="left" w:pos="6300"/>
        </w:tabs>
        <w:snapToGrid w:val="0"/>
        <w:spacing w:line="360" w:lineRule="auto"/>
        <w:ind w:firstLine="570"/>
        <w:jc w:val="left"/>
        <w:rPr>
          <w:rFonts w:ascii="宋体" w:hAnsi="宋体"/>
          <w:sz w:val="24"/>
        </w:rPr>
      </w:pPr>
    </w:p>
    <w:p>
      <w:pPr>
        <w:tabs>
          <w:tab w:val="left" w:pos="6300"/>
        </w:tabs>
        <w:snapToGrid w:val="0"/>
        <w:spacing w:line="360" w:lineRule="auto"/>
        <w:ind w:firstLine="570"/>
        <w:jc w:val="left"/>
        <w:rPr>
          <w:rFonts w:ascii="宋体" w:hAnsi="宋体"/>
          <w:sz w:val="24"/>
        </w:rPr>
      </w:pPr>
    </w:p>
    <w:p>
      <w:pPr>
        <w:tabs>
          <w:tab w:val="left" w:pos="6300"/>
        </w:tabs>
        <w:snapToGrid w:val="0"/>
        <w:spacing w:line="360" w:lineRule="auto"/>
        <w:ind w:firstLine="570"/>
        <w:jc w:val="left"/>
        <w:rPr>
          <w:rFonts w:ascii="宋体" w:hAnsi="宋体"/>
          <w:sz w:val="24"/>
        </w:rPr>
      </w:pPr>
    </w:p>
    <w:p>
      <w:pPr>
        <w:tabs>
          <w:tab w:val="left" w:pos="6300"/>
        </w:tabs>
        <w:snapToGrid w:val="0"/>
        <w:spacing w:line="360" w:lineRule="auto"/>
        <w:ind w:firstLine="570"/>
        <w:jc w:val="left"/>
        <w:rPr>
          <w:rFonts w:ascii="宋体" w:hAnsi="宋体"/>
          <w:sz w:val="24"/>
        </w:rPr>
      </w:pPr>
    </w:p>
    <w:p>
      <w:pPr>
        <w:tabs>
          <w:tab w:val="left" w:pos="6300"/>
        </w:tabs>
        <w:snapToGrid w:val="0"/>
        <w:spacing w:line="360" w:lineRule="auto"/>
        <w:jc w:val="center"/>
        <w:rPr>
          <w:rFonts w:ascii="宋体" w:hAnsi="宋体"/>
        </w:rPr>
      </w:pPr>
      <w:r>
        <w:rPr>
          <w:rFonts w:hint="eastAsia" w:ascii="宋体" w:hAnsi="宋体"/>
        </w:rPr>
        <w:t>（结束）</w:t>
      </w:r>
    </w:p>
    <w:sectPr>
      <w:headerReference r:id="rId7" w:type="default"/>
      <w:footerReference r:id="rId8"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2"/>
      </w:rPr>
      <w:instrText xml:space="preserve"> PAGE </w:instrText>
    </w:r>
    <w:r>
      <w:fldChar w:fldCharType="separate"/>
    </w:r>
    <w:r>
      <w:rPr>
        <w:rStyle w:val="62"/>
      </w:rPr>
      <w:t>- 34 -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left"/>
      <w:rPr>
        <w:rFonts w:ascii="方正仿宋_GBK" w:eastAsia="方正仿宋_GBK"/>
        <w:sz w:val="21"/>
        <w:szCs w:val="24"/>
      </w:rPr>
    </w:pPr>
    <w:r>
      <w:rPr>
        <w:rFonts w:hint="eastAsia" w:ascii="方正仿宋_GBK" w:eastAsia="方正仿宋_GBK"/>
        <w:sz w:val="21"/>
        <w:szCs w:val="24"/>
      </w:rPr>
      <w:t>重庆市第九人民医院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方正仿宋_GBK" w:eastAsia="方正仿宋_GBK"/>
        <w:sz w:val="21"/>
        <w:szCs w:val="21"/>
      </w:rPr>
    </w:pPr>
    <w:r>
      <w:rPr>
        <w:rFonts w:hint="eastAsia" w:ascii="方正仿宋_GBK" w:eastAsia="方正仿宋_GBK"/>
        <w:sz w:val="21"/>
        <w:szCs w:val="24"/>
      </w:rPr>
      <w:t xml:space="preserve">重庆市第九人民医院 </w:t>
    </w:r>
    <w:r>
      <w:rPr>
        <w:rFonts w:hint="eastAsia" w:ascii="方正仿宋_GBK" w:eastAsia="方正仿宋_GBK"/>
        <w:sz w:val="21"/>
        <w:szCs w:val="21"/>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15237"/>
    <w:multiLevelType w:val="singleLevel"/>
    <w:tmpl w:val="9CC15237"/>
    <w:lvl w:ilvl="0" w:tentative="0">
      <w:start w:val="2"/>
      <w:numFmt w:val="decimal"/>
      <w:suff w:val="nothing"/>
      <w:lvlText w:val="%1、"/>
      <w:lvlJc w:val="left"/>
    </w:lvl>
  </w:abstractNum>
  <w:abstractNum w:abstractNumId="1">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2">
    <w:nsid w:val="00000005"/>
    <w:multiLevelType w:val="multilevel"/>
    <w:tmpl w:val="00000005"/>
    <w:lvl w:ilvl="0" w:tentative="0">
      <w:start w:val="1"/>
      <w:numFmt w:val="bullet"/>
      <w:pStyle w:val="115"/>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4">
    <w:nsid w:val="00000007"/>
    <w:multiLevelType w:val="multilevel"/>
    <w:tmpl w:val="00000007"/>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89"/>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3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5"/>
    <w:multiLevelType w:val="multilevel"/>
    <w:tmpl w:val="00000015"/>
    <w:lvl w:ilvl="0" w:tentative="0">
      <w:start w:val="1"/>
      <w:numFmt w:val="decimal"/>
      <w:pStyle w:val="186"/>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6"/>
    <w:multiLevelType w:val="singleLevel"/>
    <w:tmpl w:val="00000016"/>
    <w:lvl w:ilvl="0" w:tentative="0">
      <w:start w:val="1"/>
      <w:numFmt w:val="bullet"/>
      <w:pStyle w:val="163"/>
      <w:lvlText w:val=""/>
      <w:lvlJc w:val="left"/>
      <w:pPr>
        <w:tabs>
          <w:tab w:val="left" w:pos="360"/>
        </w:tabs>
        <w:ind w:left="360" w:hanging="360"/>
      </w:pPr>
      <w:rPr>
        <w:rFonts w:hint="default" w:ascii="Wingdings" w:hAnsi="Wingdings"/>
      </w:rPr>
    </w:lvl>
  </w:abstractNum>
  <w:abstractNum w:abstractNumId="12">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3">
    <w:nsid w:val="00000019"/>
    <w:multiLevelType w:val="singleLevel"/>
    <w:tmpl w:val="00000019"/>
    <w:lvl w:ilvl="0" w:tentative="0">
      <w:start w:val="1"/>
      <w:numFmt w:val="decimal"/>
      <w:pStyle w:val="152"/>
      <w:lvlText w:val="%1)"/>
      <w:lvlJc w:val="left"/>
      <w:pPr>
        <w:tabs>
          <w:tab w:val="left" w:pos="425"/>
        </w:tabs>
        <w:ind w:left="425" w:hanging="425"/>
      </w:pPr>
      <w:rPr>
        <w:rFonts w:hint="eastAsia"/>
      </w:rPr>
    </w:lvl>
  </w:abstractNum>
  <w:abstractNum w:abstractNumId="14">
    <w:nsid w:val="0000001A"/>
    <w:multiLevelType w:val="multilevel"/>
    <w:tmpl w:val="0000001A"/>
    <w:lvl w:ilvl="0" w:tentative="0">
      <w:start w:val="1"/>
      <w:numFmt w:val="decimal"/>
      <w:pStyle w:val="9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D"/>
    <w:multiLevelType w:val="multilevel"/>
    <w:tmpl w:val="0000001D"/>
    <w:lvl w:ilvl="0" w:tentative="0">
      <w:start w:val="1"/>
      <w:numFmt w:val="chineseCountingThousand"/>
      <w:pStyle w:val="1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A371327"/>
    <w:multiLevelType w:val="multilevel"/>
    <w:tmpl w:val="0A3713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50B7BF6"/>
    <w:multiLevelType w:val="multilevel"/>
    <w:tmpl w:val="450B7BF6"/>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77A22FA"/>
    <w:multiLevelType w:val="singleLevel"/>
    <w:tmpl w:val="577A22FA"/>
    <w:lvl w:ilvl="0" w:tentative="0">
      <w:start w:val="2"/>
      <w:numFmt w:val="chineseCounting"/>
      <w:suff w:val="nothing"/>
      <w:lvlText w:val="（%1）"/>
      <w:lvlJc w:val="left"/>
    </w:lvl>
  </w:abstractNum>
  <w:abstractNum w:abstractNumId="19">
    <w:nsid w:val="57C00750"/>
    <w:multiLevelType w:val="singleLevel"/>
    <w:tmpl w:val="57C00750"/>
    <w:lvl w:ilvl="0" w:tentative="0">
      <w:start w:val="1"/>
      <w:numFmt w:val="chineseCounting"/>
      <w:suff w:val="nothing"/>
      <w:lvlText w:val="（%1）"/>
      <w:lvlJc w:val="left"/>
    </w:lvl>
  </w:abstractNum>
  <w:num w:numId="1">
    <w:abstractNumId w:val="17"/>
  </w:num>
  <w:num w:numId="2">
    <w:abstractNumId w:val="1"/>
  </w:num>
  <w:num w:numId="3">
    <w:abstractNumId w:val="3"/>
  </w:num>
  <w:num w:numId="4">
    <w:abstractNumId w:val="12"/>
  </w:num>
  <w:num w:numId="5">
    <w:abstractNumId w:val="7"/>
  </w:num>
  <w:num w:numId="6">
    <w:abstractNumId w:val="14"/>
  </w:num>
  <w:num w:numId="7">
    <w:abstractNumId w:val="2"/>
  </w:num>
  <w:num w:numId="8">
    <w:abstractNumId w:val="5"/>
  </w:num>
  <w:num w:numId="9">
    <w:abstractNumId w:val="8"/>
  </w:num>
  <w:num w:numId="10">
    <w:abstractNumId w:val="6"/>
  </w:num>
  <w:num w:numId="11">
    <w:abstractNumId w:val="13"/>
  </w:num>
  <w:num w:numId="12">
    <w:abstractNumId w:val="11"/>
  </w:num>
  <w:num w:numId="13">
    <w:abstractNumId w:val="4"/>
  </w:num>
  <w:num w:numId="14">
    <w:abstractNumId w:val="15"/>
  </w:num>
  <w:num w:numId="15">
    <w:abstractNumId w:val="10"/>
  </w:num>
  <w:num w:numId="16">
    <w:abstractNumId w:val="9"/>
  </w:num>
  <w:num w:numId="17">
    <w:abstractNumId w:val="0"/>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52"/>
    <w:rsid w:val="00006772"/>
    <w:rsid w:val="000072F0"/>
    <w:rsid w:val="00011974"/>
    <w:rsid w:val="00011AF1"/>
    <w:rsid w:val="000159CA"/>
    <w:rsid w:val="00021946"/>
    <w:rsid w:val="00021C7D"/>
    <w:rsid w:val="00025013"/>
    <w:rsid w:val="000266A1"/>
    <w:rsid w:val="000327C3"/>
    <w:rsid w:val="00034A67"/>
    <w:rsid w:val="00036148"/>
    <w:rsid w:val="0003767C"/>
    <w:rsid w:val="000376BA"/>
    <w:rsid w:val="00042250"/>
    <w:rsid w:val="00043311"/>
    <w:rsid w:val="00047EC0"/>
    <w:rsid w:val="00056058"/>
    <w:rsid w:val="00060807"/>
    <w:rsid w:val="00060E35"/>
    <w:rsid w:val="0006572E"/>
    <w:rsid w:val="00067E6F"/>
    <w:rsid w:val="00075520"/>
    <w:rsid w:val="00083C82"/>
    <w:rsid w:val="000946BD"/>
    <w:rsid w:val="00094D91"/>
    <w:rsid w:val="000A1394"/>
    <w:rsid w:val="000A2529"/>
    <w:rsid w:val="000A5445"/>
    <w:rsid w:val="000A5589"/>
    <w:rsid w:val="000A6C5F"/>
    <w:rsid w:val="000B2716"/>
    <w:rsid w:val="000C2017"/>
    <w:rsid w:val="000C44E3"/>
    <w:rsid w:val="000E43DC"/>
    <w:rsid w:val="000F16AA"/>
    <w:rsid w:val="000F176A"/>
    <w:rsid w:val="00100D7A"/>
    <w:rsid w:val="001103D7"/>
    <w:rsid w:val="00110AA3"/>
    <w:rsid w:val="001112AD"/>
    <w:rsid w:val="0011194D"/>
    <w:rsid w:val="00124CAB"/>
    <w:rsid w:val="00135250"/>
    <w:rsid w:val="001407F6"/>
    <w:rsid w:val="00146F1F"/>
    <w:rsid w:val="001528E5"/>
    <w:rsid w:val="00154A37"/>
    <w:rsid w:val="001572A0"/>
    <w:rsid w:val="00161645"/>
    <w:rsid w:val="00172A27"/>
    <w:rsid w:val="00173A9E"/>
    <w:rsid w:val="001767A8"/>
    <w:rsid w:val="00177752"/>
    <w:rsid w:val="00184668"/>
    <w:rsid w:val="001864B0"/>
    <w:rsid w:val="001A0940"/>
    <w:rsid w:val="001C7048"/>
    <w:rsid w:val="001C7A41"/>
    <w:rsid w:val="001D3080"/>
    <w:rsid w:val="001D3B7E"/>
    <w:rsid w:val="001D3BF8"/>
    <w:rsid w:val="001E2993"/>
    <w:rsid w:val="001E4F32"/>
    <w:rsid w:val="001F2848"/>
    <w:rsid w:val="001F2B77"/>
    <w:rsid w:val="00202508"/>
    <w:rsid w:val="00217C0F"/>
    <w:rsid w:val="00221927"/>
    <w:rsid w:val="00223B03"/>
    <w:rsid w:val="002259B2"/>
    <w:rsid w:val="00225AEE"/>
    <w:rsid w:val="0022711C"/>
    <w:rsid w:val="00233AFE"/>
    <w:rsid w:val="002435D0"/>
    <w:rsid w:val="00243F8F"/>
    <w:rsid w:val="00250A90"/>
    <w:rsid w:val="00252999"/>
    <w:rsid w:val="0025308A"/>
    <w:rsid w:val="002551FA"/>
    <w:rsid w:val="00255554"/>
    <w:rsid w:val="0025601D"/>
    <w:rsid w:val="00257FF1"/>
    <w:rsid w:val="00261FFC"/>
    <w:rsid w:val="00262267"/>
    <w:rsid w:val="00262E5F"/>
    <w:rsid w:val="00263F00"/>
    <w:rsid w:val="00264A68"/>
    <w:rsid w:val="0028066C"/>
    <w:rsid w:val="00281064"/>
    <w:rsid w:val="00281C26"/>
    <w:rsid w:val="002833CF"/>
    <w:rsid w:val="00286CB3"/>
    <w:rsid w:val="0029022C"/>
    <w:rsid w:val="00293E38"/>
    <w:rsid w:val="002942B8"/>
    <w:rsid w:val="002A0576"/>
    <w:rsid w:val="002A07E2"/>
    <w:rsid w:val="002B26F0"/>
    <w:rsid w:val="002B552B"/>
    <w:rsid w:val="002C6836"/>
    <w:rsid w:val="002C7223"/>
    <w:rsid w:val="002C7F2B"/>
    <w:rsid w:val="002D2F75"/>
    <w:rsid w:val="002E0FB6"/>
    <w:rsid w:val="002E1597"/>
    <w:rsid w:val="002E2816"/>
    <w:rsid w:val="002E41DF"/>
    <w:rsid w:val="002E6AC4"/>
    <w:rsid w:val="002E6DFA"/>
    <w:rsid w:val="002F1086"/>
    <w:rsid w:val="002F5829"/>
    <w:rsid w:val="002F5EEF"/>
    <w:rsid w:val="00301076"/>
    <w:rsid w:val="00316DF2"/>
    <w:rsid w:val="003231A8"/>
    <w:rsid w:val="00324C21"/>
    <w:rsid w:val="00331597"/>
    <w:rsid w:val="00336A3D"/>
    <w:rsid w:val="00342497"/>
    <w:rsid w:val="00344FF3"/>
    <w:rsid w:val="00353E41"/>
    <w:rsid w:val="00370BF4"/>
    <w:rsid w:val="0037169E"/>
    <w:rsid w:val="003716A5"/>
    <w:rsid w:val="00376B12"/>
    <w:rsid w:val="00383C9F"/>
    <w:rsid w:val="0038635F"/>
    <w:rsid w:val="003902F6"/>
    <w:rsid w:val="003A37BE"/>
    <w:rsid w:val="003A4636"/>
    <w:rsid w:val="003B2F40"/>
    <w:rsid w:val="003C3995"/>
    <w:rsid w:val="003D0992"/>
    <w:rsid w:val="003D1F45"/>
    <w:rsid w:val="003D229C"/>
    <w:rsid w:val="003E11FE"/>
    <w:rsid w:val="003E191C"/>
    <w:rsid w:val="003E316B"/>
    <w:rsid w:val="003E5E95"/>
    <w:rsid w:val="003E699F"/>
    <w:rsid w:val="003F2CFF"/>
    <w:rsid w:val="003F5BC7"/>
    <w:rsid w:val="003F7CE2"/>
    <w:rsid w:val="0040154D"/>
    <w:rsid w:val="0040799A"/>
    <w:rsid w:val="00410D92"/>
    <w:rsid w:val="00411C41"/>
    <w:rsid w:val="00412898"/>
    <w:rsid w:val="004157DD"/>
    <w:rsid w:val="00415899"/>
    <w:rsid w:val="00415D11"/>
    <w:rsid w:val="00422860"/>
    <w:rsid w:val="00425B08"/>
    <w:rsid w:val="00431B48"/>
    <w:rsid w:val="00432DE8"/>
    <w:rsid w:val="00442474"/>
    <w:rsid w:val="0044361E"/>
    <w:rsid w:val="0045181E"/>
    <w:rsid w:val="00452670"/>
    <w:rsid w:val="00454511"/>
    <w:rsid w:val="0045590E"/>
    <w:rsid w:val="00464027"/>
    <w:rsid w:val="00465257"/>
    <w:rsid w:val="00475385"/>
    <w:rsid w:val="0047562B"/>
    <w:rsid w:val="00475E0F"/>
    <w:rsid w:val="00481CD4"/>
    <w:rsid w:val="0048396B"/>
    <w:rsid w:val="00485174"/>
    <w:rsid w:val="00487CDA"/>
    <w:rsid w:val="004917CD"/>
    <w:rsid w:val="004978F0"/>
    <w:rsid w:val="004A0052"/>
    <w:rsid w:val="004A02B1"/>
    <w:rsid w:val="004A263F"/>
    <w:rsid w:val="004B1497"/>
    <w:rsid w:val="004B4538"/>
    <w:rsid w:val="004B6CA6"/>
    <w:rsid w:val="004B709B"/>
    <w:rsid w:val="004B7FE0"/>
    <w:rsid w:val="004C1FC5"/>
    <w:rsid w:val="004C2A6E"/>
    <w:rsid w:val="004D009E"/>
    <w:rsid w:val="004D0D5D"/>
    <w:rsid w:val="004D4F50"/>
    <w:rsid w:val="004D6700"/>
    <w:rsid w:val="004E257E"/>
    <w:rsid w:val="004E61F4"/>
    <w:rsid w:val="005016D9"/>
    <w:rsid w:val="00502629"/>
    <w:rsid w:val="00511323"/>
    <w:rsid w:val="00513CBD"/>
    <w:rsid w:val="00525E4A"/>
    <w:rsid w:val="00537C42"/>
    <w:rsid w:val="00541231"/>
    <w:rsid w:val="00545C00"/>
    <w:rsid w:val="00546C36"/>
    <w:rsid w:val="00550BEB"/>
    <w:rsid w:val="0055311C"/>
    <w:rsid w:val="00562B13"/>
    <w:rsid w:val="00562EFE"/>
    <w:rsid w:val="005645D3"/>
    <w:rsid w:val="00565E00"/>
    <w:rsid w:val="00566CBB"/>
    <w:rsid w:val="00575BED"/>
    <w:rsid w:val="00577CDB"/>
    <w:rsid w:val="00587496"/>
    <w:rsid w:val="005A18A4"/>
    <w:rsid w:val="005A3BEE"/>
    <w:rsid w:val="005A6846"/>
    <w:rsid w:val="005B1105"/>
    <w:rsid w:val="005B1829"/>
    <w:rsid w:val="005B5D00"/>
    <w:rsid w:val="005C3185"/>
    <w:rsid w:val="005C4345"/>
    <w:rsid w:val="005D2F52"/>
    <w:rsid w:val="005E117E"/>
    <w:rsid w:val="005E12B4"/>
    <w:rsid w:val="005E7B12"/>
    <w:rsid w:val="005F17F3"/>
    <w:rsid w:val="005F363C"/>
    <w:rsid w:val="005F51F8"/>
    <w:rsid w:val="005F5262"/>
    <w:rsid w:val="005F65A7"/>
    <w:rsid w:val="00600DF2"/>
    <w:rsid w:val="00601283"/>
    <w:rsid w:val="006016E0"/>
    <w:rsid w:val="00601F42"/>
    <w:rsid w:val="006021ED"/>
    <w:rsid w:val="0060469C"/>
    <w:rsid w:val="00606AF8"/>
    <w:rsid w:val="0061125E"/>
    <w:rsid w:val="00612C1F"/>
    <w:rsid w:val="0061386E"/>
    <w:rsid w:val="00616EC6"/>
    <w:rsid w:val="00624833"/>
    <w:rsid w:val="0062622B"/>
    <w:rsid w:val="006275D7"/>
    <w:rsid w:val="00631483"/>
    <w:rsid w:val="006341BD"/>
    <w:rsid w:val="00636C1F"/>
    <w:rsid w:val="006456C7"/>
    <w:rsid w:val="00653FC4"/>
    <w:rsid w:val="006558D7"/>
    <w:rsid w:val="00655CB3"/>
    <w:rsid w:val="00661A58"/>
    <w:rsid w:val="006661A4"/>
    <w:rsid w:val="0066764A"/>
    <w:rsid w:val="006732AF"/>
    <w:rsid w:val="00675735"/>
    <w:rsid w:val="00675E52"/>
    <w:rsid w:val="006800A2"/>
    <w:rsid w:val="00680CC4"/>
    <w:rsid w:val="00680EEC"/>
    <w:rsid w:val="0068367F"/>
    <w:rsid w:val="00687999"/>
    <w:rsid w:val="00692295"/>
    <w:rsid w:val="00696EEA"/>
    <w:rsid w:val="006A0B45"/>
    <w:rsid w:val="006A3DC1"/>
    <w:rsid w:val="006A5644"/>
    <w:rsid w:val="006A71EB"/>
    <w:rsid w:val="006B1991"/>
    <w:rsid w:val="006B3BCB"/>
    <w:rsid w:val="006B446F"/>
    <w:rsid w:val="006C2CB1"/>
    <w:rsid w:val="006C32BC"/>
    <w:rsid w:val="006C4663"/>
    <w:rsid w:val="006D7125"/>
    <w:rsid w:val="006E016E"/>
    <w:rsid w:val="006E2F2B"/>
    <w:rsid w:val="006E491A"/>
    <w:rsid w:val="006F1439"/>
    <w:rsid w:val="006F1A60"/>
    <w:rsid w:val="006F7B0F"/>
    <w:rsid w:val="00701E8B"/>
    <w:rsid w:val="0070237A"/>
    <w:rsid w:val="007070E3"/>
    <w:rsid w:val="007101F0"/>
    <w:rsid w:val="007203A8"/>
    <w:rsid w:val="00727EA4"/>
    <w:rsid w:val="00736BA5"/>
    <w:rsid w:val="00736DED"/>
    <w:rsid w:val="007440E6"/>
    <w:rsid w:val="007445DB"/>
    <w:rsid w:val="00751BD7"/>
    <w:rsid w:val="00754077"/>
    <w:rsid w:val="00757139"/>
    <w:rsid w:val="007604C1"/>
    <w:rsid w:val="007613AA"/>
    <w:rsid w:val="007615A8"/>
    <w:rsid w:val="00761E7F"/>
    <w:rsid w:val="007629D1"/>
    <w:rsid w:val="00763937"/>
    <w:rsid w:val="007641FC"/>
    <w:rsid w:val="00765791"/>
    <w:rsid w:val="00770A1E"/>
    <w:rsid w:val="00771D5C"/>
    <w:rsid w:val="00774817"/>
    <w:rsid w:val="0077586D"/>
    <w:rsid w:val="00781E90"/>
    <w:rsid w:val="007843B7"/>
    <w:rsid w:val="007977A7"/>
    <w:rsid w:val="007A1958"/>
    <w:rsid w:val="007A1D16"/>
    <w:rsid w:val="007A2E91"/>
    <w:rsid w:val="007A4D8F"/>
    <w:rsid w:val="007B08DC"/>
    <w:rsid w:val="007D06F0"/>
    <w:rsid w:val="007D2455"/>
    <w:rsid w:val="007D5328"/>
    <w:rsid w:val="007E0FF7"/>
    <w:rsid w:val="007E7604"/>
    <w:rsid w:val="007F13DC"/>
    <w:rsid w:val="007F396F"/>
    <w:rsid w:val="007F3ED7"/>
    <w:rsid w:val="007F4475"/>
    <w:rsid w:val="0080008F"/>
    <w:rsid w:val="00813DCB"/>
    <w:rsid w:val="00823323"/>
    <w:rsid w:val="00836907"/>
    <w:rsid w:val="00837E7E"/>
    <w:rsid w:val="00846835"/>
    <w:rsid w:val="00850495"/>
    <w:rsid w:val="00860FA0"/>
    <w:rsid w:val="00872165"/>
    <w:rsid w:val="00872BD9"/>
    <w:rsid w:val="00872CE0"/>
    <w:rsid w:val="008805E7"/>
    <w:rsid w:val="008823C5"/>
    <w:rsid w:val="008847BE"/>
    <w:rsid w:val="00885CBF"/>
    <w:rsid w:val="00887F07"/>
    <w:rsid w:val="00887F44"/>
    <w:rsid w:val="008A0CEB"/>
    <w:rsid w:val="008A6283"/>
    <w:rsid w:val="008A6DB1"/>
    <w:rsid w:val="008C0317"/>
    <w:rsid w:val="008C4238"/>
    <w:rsid w:val="008C54D0"/>
    <w:rsid w:val="008C5917"/>
    <w:rsid w:val="008D2FB6"/>
    <w:rsid w:val="008D5912"/>
    <w:rsid w:val="008D5D99"/>
    <w:rsid w:val="008E19F1"/>
    <w:rsid w:val="008E4A4A"/>
    <w:rsid w:val="008E6C42"/>
    <w:rsid w:val="008F0CB3"/>
    <w:rsid w:val="008F5FE3"/>
    <w:rsid w:val="008F6B0B"/>
    <w:rsid w:val="008F7FC7"/>
    <w:rsid w:val="00906CF9"/>
    <w:rsid w:val="00907D95"/>
    <w:rsid w:val="00910903"/>
    <w:rsid w:val="00910C51"/>
    <w:rsid w:val="009111F7"/>
    <w:rsid w:val="00923470"/>
    <w:rsid w:val="00923C4C"/>
    <w:rsid w:val="0092759C"/>
    <w:rsid w:val="00932299"/>
    <w:rsid w:val="00935BB5"/>
    <w:rsid w:val="009431CE"/>
    <w:rsid w:val="0094671D"/>
    <w:rsid w:val="00952A37"/>
    <w:rsid w:val="0095360A"/>
    <w:rsid w:val="00964785"/>
    <w:rsid w:val="00965047"/>
    <w:rsid w:val="00965D3C"/>
    <w:rsid w:val="00965F18"/>
    <w:rsid w:val="00965FDB"/>
    <w:rsid w:val="00966217"/>
    <w:rsid w:val="009704E8"/>
    <w:rsid w:val="00971130"/>
    <w:rsid w:val="00977EA2"/>
    <w:rsid w:val="009815D1"/>
    <w:rsid w:val="009847F2"/>
    <w:rsid w:val="00987348"/>
    <w:rsid w:val="009931BD"/>
    <w:rsid w:val="00993E75"/>
    <w:rsid w:val="009961AF"/>
    <w:rsid w:val="0099772A"/>
    <w:rsid w:val="00997CBE"/>
    <w:rsid w:val="00997ED7"/>
    <w:rsid w:val="009A2F0C"/>
    <w:rsid w:val="009A5521"/>
    <w:rsid w:val="009A559F"/>
    <w:rsid w:val="009A7C4B"/>
    <w:rsid w:val="009B7144"/>
    <w:rsid w:val="009C2DEA"/>
    <w:rsid w:val="009C33FD"/>
    <w:rsid w:val="009C6566"/>
    <w:rsid w:val="009D3468"/>
    <w:rsid w:val="009D3B7C"/>
    <w:rsid w:val="009D52DD"/>
    <w:rsid w:val="009D75BD"/>
    <w:rsid w:val="009E6755"/>
    <w:rsid w:val="009E7274"/>
    <w:rsid w:val="009F3F85"/>
    <w:rsid w:val="009F486E"/>
    <w:rsid w:val="009F56FA"/>
    <w:rsid w:val="00A05776"/>
    <w:rsid w:val="00A057F4"/>
    <w:rsid w:val="00A216BD"/>
    <w:rsid w:val="00A33DAC"/>
    <w:rsid w:val="00A348D5"/>
    <w:rsid w:val="00A35A0C"/>
    <w:rsid w:val="00A36EAF"/>
    <w:rsid w:val="00A43B02"/>
    <w:rsid w:val="00A43BFA"/>
    <w:rsid w:val="00A52466"/>
    <w:rsid w:val="00A5465E"/>
    <w:rsid w:val="00A70CFF"/>
    <w:rsid w:val="00A72DCF"/>
    <w:rsid w:val="00A819CD"/>
    <w:rsid w:val="00A845C5"/>
    <w:rsid w:val="00A84CC4"/>
    <w:rsid w:val="00A85534"/>
    <w:rsid w:val="00A85AFE"/>
    <w:rsid w:val="00A87965"/>
    <w:rsid w:val="00A918E0"/>
    <w:rsid w:val="00A96FAC"/>
    <w:rsid w:val="00AA178F"/>
    <w:rsid w:val="00AA29D5"/>
    <w:rsid w:val="00AA330A"/>
    <w:rsid w:val="00AA3559"/>
    <w:rsid w:val="00AA3A39"/>
    <w:rsid w:val="00AA3DB5"/>
    <w:rsid w:val="00AA3EA9"/>
    <w:rsid w:val="00AA5FAE"/>
    <w:rsid w:val="00AA75AE"/>
    <w:rsid w:val="00AB0373"/>
    <w:rsid w:val="00AB4654"/>
    <w:rsid w:val="00AB65A4"/>
    <w:rsid w:val="00AC0D4B"/>
    <w:rsid w:val="00AC2271"/>
    <w:rsid w:val="00AC34CB"/>
    <w:rsid w:val="00AC7E13"/>
    <w:rsid w:val="00AE1B07"/>
    <w:rsid w:val="00AE6D6B"/>
    <w:rsid w:val="00B02FC6"/>
    <w:rsid w:val="00B03427"/>
    <w:rsid w:val="00B07506"/>
    <w:rsid w:val="00B10447"/>
    <w:rsid w:val="00B20DE3"/>
    <w:rsid w:val="00B26989"/>
    <w:rsid w:val="00B328F6"/>
    <w:rsid w:val="00B332F8"/>
    <w:rsid w:val="00B3483C"/>
    <w:rsid w:val="00B40E48"/>
    <w:rsid w:val="00B4612D"/>
    <w:rsid w:val="00B46AE5"/>
    <w:rsid w:val="00B47211"/>
    <w:rsid w:val="00B477F3"/>
    <w:rsid w:val="00B479A2"/>
    <w:rsid w:val="00B50138"/>
    <w:rsid w:val="00B54100"/>
    <w:rsid w:val="00B54C95"/>
    <w:rsid w:val="00B56484"/>
    <w:rsid w:val="00B61D5E"/>
    <w:rsid w:val="00B66F07"/>
    <w:rsid w:val="00B71473"/>
    <w:rsid w:val="00B744BA"/>
    <w:rsid w:val="00B74E30"/>
    <w:rsid w:val="00B82429"/>
    <w:rsid w:val="00B82C14"/>
    <w:rsid w:val="00B83E7A"/>
    <w:rsid w:val="00B86533"/>
    <w:rsid w:val="00B912AB"/>
    <w:rsid w:val="00B9347F"/>
    <w:rsid w:val="00B94DDB"/>
    <w:rsid w:val="00B964E1"/>
    <w:rsid w:val="00B977C0"/>
    <w:rsid w:val="00BA0493"/>
    <w:rsid w:val="00BA33A9"/>
    <w:rsid w:val="00BA378D"/>
    <w:rsid w:val="00BA4C26"/>
    <w:rsid w:val="00BB6F73"/>
    <w:rsid w:val="00BB7049"/>
    <w:rsid w:val="00BB70B3"/>
    <w:rsid w:val="00BC1F99"/>
    <w:rsid w:val="00BC4871"/>
    <w:rsid w:val="00BC4D5D"/>
    <w:rsid w:val="00BC7CD5"/>
    <w:rsid w:val="00BD0538"/>
    <w:rsid w:val="00BD2931"/>
    <w:rsid w:val="00BD2AA0"/>
    <w:rsid w:val="00BD3668"/>
    <w:rsid w:val="00BD6D76"/>
    <w:rsid w:val="00BE200A"/>
    <w:rsid w:val="00BE6B62"/>
    <w:rsid w:val="00BF2AE3"/>
    <w:rsid w:val="00BF370F"/>
    <w:rsid w:val="00BF4212"/>
    <w:rsid w:val="00BF680C"/>
    <w:rsid w:val="00C11DF3"/>
    <w:rsid w:val="00C22FB5"/>
    <w:rsid w:val="00C23C59"/>
    <w:rsid w:val="00C32F0A"/>
    <w:rsid w:val="00C35F43"/>
    <w:rsid w:val="00C423BA"/>
    <w:rsid w:val="00C44FAD"/>
    <w:rsid w:val="00C45ACD"/>
    <w:rsid w:val="00C45C68"/>
    <w:rsid w:val="00C47E15"/>
    <w:rsid w:val="00C5294B"/>
    <w:rsid w:val="00C558E6"/>
    <w:rsid w:val="00C62A1C"/>
    <w:rsid w:val="00C71166"/>
    <w:rsid w:val="00C71788"/>
    <w:rsid w:val="00C74BE1"/>
    <w:rsid w:val="00C758DE"/>
    <w:rsid w:val="00C778A3"/>
    <w:rsid w:val="00C7796A"/>
    <w:rsid w:val="00C815BF"/>
    <w:rsid w:val="00C86EA5"/>
    <w:rsid w:val="00C90390"/>
    <w:rsid w:val="00C90D26"/>
    <w:rsid w:val="00C92310"/>
    <w:rsid w:val="00C940DC"/>
    <w:rsid w:val="00C95622"/>
    <w:rsid w:val="00C97C76"/>
    <w:rsid w:val="00CA35F2"/>
    <w:rsid w:val="00CA4768"/>
    <w:rsid w:val="00CB1B17"/>
    <w:rsid w:val="00CB1D82"/>
    <w:rsid w:val="00CC658E"/>
    <w:rsid w:val="00CD07B0"/>
    <w:rsid w:val="00CD1161"/>
    <w:rsid w:val="00CD5F03"/>
    <w:rsid w:val="00CE69EB"/>
    <w:rsid w:val="00CE6A29"/>
    <w:rsid w:val="00CF34A0"/>
    <w:rsid w:val="00CF7D09"/>
    <w:rsid w:val="00D00074"/>
    <w:rsid w:val="00D004DE"/>
    <w:rsid w:val="00D175E6"/>
    <w:rsid w:val="00D22402"/>
    <w:rsid w:val="00D22AD4"/>
    <w:rsid w:val="00D2387A"/>
    <w:rsid w:val="00D27C45"/>
    <w:rsid w:val="00D32E09"/>
    <w:rsid w:val="00D33903"/>
    <w:rsid w:val="00D40397"/>
    <w:rsid w:val="00D40ED4"/>
    <w:rsid w:val="00D453CC"/>
    <w:rsid w:val="00D5598F"/>
    <w:rsid w:val="00D56691"/>
    <w:rsid w:val="00D6204B"/>
    <w:rsid w:val="00D629C4"/>
    <w:rsid w:val="00D70362"/>
    <w:rsid w:val="00D72A76"/>
    <w:rsid w:val="00D74754"/>
    <w:rsid w:val="00D76DFF"/>
    <w:rsid w:val="00D771DD"/>
    <w:rsid w:val="00D93E8A"/>
    <w:rsid w:val="00D94E5F"/>
    <w:rsid w:val="00D95EF5"/>
    <w:rsid w:val="00D96D4D"/>
    <w:rsid w:val="00DA46EA"/>
    <w:rsid w:val="00DA473D"/>
    <w:rsid w:val="00DA5311"/>
    <w:rsid w:val="00DA5782"/>
    <w:rsid w:val="00DB1CFC"/>
    <w:rsid w:val="00DB1DD6"/>
    <w:rsid w:val="00DB361F"/>
    <w:rsid w:val="00DB4665"/>
    <w:rsid w:val="00DB54D4"/>
    <w:rsid w:val="00DB7DF8"/>
    <w:rsid w:val="00DC1093"/>
    <w:rsid w:val="00DC16CA"/>
    <w:rsid w:val="00DC18F0"/>
    <w:rsid w:val="00DC663A"/>
    <w:rsid w:val="00DD0496"/>
    <w:rsid w:val="00DD16EF"/>
    <w:rsid w:val="00DD7FAD"/>
    <w:rsid w:val="00DE4E0A"/>
    <w:rsid w:val="00DE5537"/>
    <w:rsid w:val="00DE63D8"/>
    <w:rsid w:val="00DF12C8"/>
    <w:rsid w:val="00DF23D0"/>
    <w:rsid w:val="00DF3C31"/>
    <w:rsid w:val="00DF461B"/>
    <w:rsid w:val="00DF4C81"/>
    <w:rsid w:val="00E0374D"/>
    <w:rsid w:val="00E03A0F"/>
    <w:rsid w:val="00E05D84"/>
    <w:rsid w:val="00E15AE5"/>
    <w:rsid w:val="00E2587A"/>
    <w:rsid w:val="00E30B66"/>
    <w:rsid w:val="00E44CFF"/>
    <w:rsid w:val="00E5029B"/>
    <w:rsid w:val="00E604AC"/>
    <w:rsid w:val="00E60B6E"/>
    <w:rsid w:val="00E64B1D"/>
    <w:rsid w:val="00E6553B"/>
    <w:rsid w:val="00E75C0B"/>
    <w:rsid w:val="00E77531"/>
    <w:rsid w:val="00E8445E"/>
    <w:rsid w:val="00E86CBF"/>
    <w:rsid w:val="00E93790"/>
    <w:rsid w:val="00EA09A7"/>
    <w:rsid w:val="00EA229F"/>
    <w:rsid w:val="00EA5253"/>
    <w:rsid w:val="00EA6434"/>
    <w:rsid w:val="00EC12BC"/>
    <w:rsid w:val="00EC4AFA"/>
    <w:rsid w:val="00EC53CC"/>
    <w:rsid w:val="00EC649C"/>
    <w:rsid w:val="00EC74B3"/>
    <w:rsid w:val="00ED146F"/>
    <w:rsid w:val="00ED3A34"/>
    <w:rsid w:val="00ED51FD"/>
    <w:rsid w:val="00EE129C"/>
    <w:rsid w:val="00EE4B26"/>
    <w:rsid w:val="00EE50D3"/>
    <w:rsid w:val="00EE6FB0"/>
    <w:rsid w:val="00EE719A"/>
    <w:rsid w:val="00EE7C9E"/>
    <w:rsid w:val="00EF7D65"/>
    <w:rsid w:val="00F028F2"/>
    <w:rsid w:val="00F06FCC"/>
    <w:rsid w:val="00F10392"/>
    <w:rsid w:val="00F11682"/>
    <w:rsid w:val="00F27B7B"/>
    <w:rsid w:val="00F31352"/>
    <w:rsid w:val="00F405B9"/>
    <w:rsid w:val="00F5045C"/>
    <w:rsid w:val="00F509FB"/>
    <w:rsid w:val="00F60847"/>
    <w:rsid w:val="00F753A8"/>
    <w:rsid w:val="00F7735B"/>
    <w:rsid w:val="00F822DB"/>
    <w:rsid w:val="00F830A4"/>
    <w:rsid w:val="00F91170"/>
    <w:rsid w:val="00FA422E"/>
    <w:rsid w:val="00FA65AC"/>
    <w:rsid w:val="00FA72B1"/>
    <w:rsid w:val="00FB26B3"/>
    <w:rsid w:val="00FB7965"/>
    <w:rsid w:val="00FC059C"/>
    <w:rsid w:val="00FC10F7"/>
    <w:rsid w:val="00FC6A7B"/>
    <w:rsid w:val="00FD5C43"/>
    <w:rsid w:val="00FD6624"/>
    <w:rsid w:val="00FE5C85"/>
    <w:rsid w:val="00FF2D68"/>
    <w:rsid w:val="00FF5765"/>
    <w:rsid w:val="00FF7EB1"/>
    <w:rsid w:val="010F68D7"/>
    <w:rsid w:val="01560C32"/>
    <w:rsid w:val="02387C70"/>
    <w:rsid w:val="02AB49FC"/>
    <w:rsid w:val="02D4669D"/>
    <w:rsid w:val="02EA0CCF"/>
    <w:rsid w:val="03064E13"/>
    <w:rsid w:val="03C05022"/>
    <w:rsid w:val="03C142B6"/>
    <w:rsid w:val="03D56DED"/>
    <w:rsid w:val="03F903E2"/>
    <w:rsid w:val="03FE737B"/>
    <w:rsid w:val="04335B11"/>
    <w:rsid w:val="04AC6C6F"/>
    <w:rsid w:val="04B30074"/>
    <w:rsid w:val="04B30699"/>
    <w:rsid w:val="04D57B0E"/>
    <w:rsid w:val="05AF098B"/>
    <w:rsid w:val="062151B0"/>
    <w:rsid w:val="06273BD8"/>
    <w:rsid w:val="064C36CC"/>
    <w:rsid w:val="06C80159"/>
    <w:rsid w:val="06E32170"/>
    <w:rsid w:val="06E615DF"/>
    <w:rsid w:val="07830345"/>
    <w:rsid w:val="07A96329"/>
    <w:rsid w:val="07FD0414"/>
    <w:rsid w:val="094E1D41"/>
    <w:rsid w:val="09EC62C8"/>
    <w:rsid w:val="09FB0C6A"/>
    <w:rsid w:val="0A355DAA"/>
    <w:rsid w:val="0AF11B33"/>
    <w:rsid w:val="0B112D7F"/>
    <w:rsid w:val="0B485072"/>
    <w:rsid w:val="0BBA472E"/>
    <w:rsid w:val="0BDC1094"/>
    <w:rsid w:val="0BE46277"/>
    <w:rsid w:val="0BFF276A"/>
    <w:rsid w:val="0C276A88"/>
    <w:rsid w:val="0CD133FB"/>
    <w:rsid w:val="0CDB6909"/>
    <w:rsid w:val="0CFD4CE0"/>
    <w:rsid w:val="0D5B79AB"/>
    <w:rsid w:val="0D6042A8"/>
    <w:rsid w:val="0D6A0A3E"/>
    <w:rsid w:val="0D916DAC"/>
    <w:rsid w:val="0D996961"/>
    <w:rsid w:val="0DC40D43"/>
    <w:rsid w:val="0DE412C2"/>
    <w:rsid w:val="0E883B0D"/>
    <w:rsid w:val="0EB45626"/>
    <w:rsid w:val="0ED551C9"/>
    <w:rsid w:val="0F82532B"/>
    <w:rsid w:val="0FAD20F8"/>
    <w:rsid w:val="0FB06B1C"/>
    <w:rsid w:val="0FBA34B2"/>
    <w:rsid w:val="10514AD4"/>
    <w:rsid w:val="107E423D"/>
    <w:rsid w:val="10834F03"/>
    <w:rsid w:val="10C017E8"/>
    <w:rsid w:val="1106497C"/>
    <w:rsid w:val="11677AD0"/>
    <w:rsid w:val="11FC3F6D"/>
    <w:rsid w:val="12705623"/>
    <w:rsid w:val="12857919"/>
    <w:rsid w:val="12AC3EC0"/>
    <w:rsid w:val="13266600"/>
    <w:rsid w:val="133E07A2"/>
    <w:rsid w:val="13717356"/>
    <w:rsid w:val="13B00D53"/>
    <w:rsid w:val="13D11C6B"/>
    <w:rsid w:val="14625E07"/>
    <w:rsid w:val="14B422D0"/>
    <w:rsid w:val="14DF238B"/>
    <w:rsid w:val="15242D57"/>
    <w:rsid w:val="155A12F6"/>
    <w:rsid w:val="158552FE"/>
    <w:rsid w:val="15E95F81"/>
    <w:rsid w:val="15F94BBF"/>
    <w:rsid w:val="16033452"/>
    <w:rsid w:val="160E1F5F"/>
    <w:rsid w:val="16207779"/>
    <w:rsid w:val="167161B8"/>
    <w:rsid w:val="16B0476C"/>
    <w:rsid w:val="16F03007"/>
    <w:rsid w:val="17640299"/>
    <w:rsid w:val="17666218"/>
    <w:rsid w:val="176A0BCF"/>
    <w:rsid w:val="176C2B6F"/>
    <w:rsid w:val="17CC73E5"/>
    <w:rsid w:val="17F4064B"/>
    <w:rsid w:val="17F90C2E"/>
    <w:rsid w:val="17F96DCE"/>
    <w:rsid w:val="18267F6A"/>
    <w:rsid w:val="184B16A0"/>
    <w:rsid w:val="18854CCB"/>
    <w:rsid w:val="18FA03E9"/>
    <w:rsid w:val="196D5BAD"/>
    <w:rsid w:val="19DE407C"/>
    <w:rsid w:val="19E10B11"/>
    <w:rsid w:val="1AA87163"/>
    <w:rsid w:val="1B543A37"/>
    <w:rsid w:val="1B737A33"/>
    <w:rsid w:val="1BBF61A2"/>
    <w:rsid w:val="1C4D36F6"/>
    <w:rsid w:val="1C7C0A01"/>
    <w:rsid w:val="1D1B56DC"/>
    <w:rsid w:val="1D2D1128"/>
    <w:rsid w:val="1D352F70"/>
    <w:rsid w:val="1D3F1798"/>
    <w:rsid w:val="1D84058D"/>
    <w:rsid w:val="1D8912F2"/>
    <w:rsid w:val="1DA9642A"/>
    <w:rsid w:val="1DD83ED9"/>
    <w:rsid w:val="1DE41812"/>
    <w:rsid w:val="1E3950B8"/>
    <w:rsid w:val="1E477435"/>
    <w:rsid w:val="1EA7212E"/>
    <w:rsid w:val="1EEC7DE6"/>
    <w:rsid w:val="20081376"/>
    <w:rsid w:val="200E05B6"/>
    <w:rsid w:val="203E2358"/>
    <w:rsid w:val="20465DAC"/>
    <w:rsid w:val="20766C95"/>
    <w:rsid w:val="20886F00"/>
    <w:rsid w:val="20F95428"/>
    <w:rsid w:val="21540318"/>
    <w:rsid w:val="215D3B97"/>
    <w:rsid w:val="21986830"/>
    <w:rsid w:val="219E0B79"/>
    <w:rsid w:val="21D25D29"/>
    <w:rsid w:val="21D579F1"/>
    <w:rsid w:val="223226D4"/>
    <w:rsid w:val="2245368C"/>
    <w:rsid w:val="225443E0"/>
    <w:rsid w:val="226752B1"/>
    <w:rsid w:val="227C0C90"/>
    <w:rsid w:val="22DE476E"/>
    <w:rsid w:val="23086BCD"/>
    <w:rsid w:val="232A008F"/>
    <w:rsid w:val="235E4BF1"/>
    <w:rsid w:val="236844C5"/>
    <w:rsid w:val="23860B4B"/>
    <w:rsid w:val="238E7C0B"/>
    <w:rsid w:val="243A284F"/>
    <w:rsid w:val="249767A2"/>
    <w:rsid w:val="24F85849"/>
    <w:rsid w:val="24FF1A7E"/>
    <w:rsid w:val="25134074"/>
    <w:rsid w:val="25F10DE1"/>
    <w:rsid w:val="2623332C"/>
    <w:rsid w:val="26DE7A3E"/>
    <w:rsid w:val="26F357FF"/>
    <w:rsid w:val="27282922"/>
    <w:rsid w:val="273D24AD"/>
    <w:rsid w:val="2758715E"/>
    <w:rsid w:val="27870A20"/>
    <w:rsid w:val="2822556C"/>
    <w:rsid w:val="285279A3"/>
    <w:rsid w:val="285506D5"/>
    <w:rsid w:val="288B7FD6"/>
    <w:rsid w:val="28A245CE"/>
    <w:rsid w:val="28DB663B"/>
    <w:rsid w:val="291757B5"/>
    <w:rsid w:val="29693DB0"/>
    <w:rsid w:val="2978466A"/>
    <w:rsid w:val="29F441C1"/>
    <w:rsid w:val="2A172AE9"/>
    <w:rsid w:val="2A9F6325"/>
    <w:rsid w:val="2AB44674"/>
    <w:rsid w:val="2AD6138A"/>
    <w:rsid w:val="2B004F78"/>
    <w:rsid w:val="2B157BDA"/>
    <w:rsid w:val="2B774BFB"/>
    <w:rsid w:val="2BE769BB"/>
    <w:rsid w:val="2C7407AC"/>
    <w:rsid w:val="2D044F4B"/>
    <w:rsid w:val="2D24524B"/>
    <w:rsid w:val="2D354F0C"/>
    <w:rsid w:val="2D4B5321"/>
    <w:rsid w:val="2D683FA3"/>
    <w:rsid w:val="2D7226CB"/>
    <w:rsid w:val="2DAB0FA6"/>
    <w:rsid w:val="2DFD3658"/>
    <w:rsid w:val="2E3E19FB"/>
    <w:rsid w:val="2E865758"/>
    <w:rsid w:val="2F2F6488"/>
    <w:rsid w:val="2F556F69"/>
    <w:rsid w:val="2F5612F1"/>
    <w:rsid w:val="2FBA743A"/>
    <w:rsid w:val="305B4A49"/>
    <w:rsid w:val="30734ECB"/>
    <w:rsid w:val="310C404B"/>
    <w:rsid w:val="315A4266"/>
    <w:rsid w:val="316D6811"/>
    <w:rsid w:val="319866B7"/>
    <w:rsid w:val="31AD4D31"/>
    <w:rsid w:val="31C34022"/>
    <w:rsid w:val="324246E3"/>
    <w:rsid w:val="32590E63"/>
    <w:rsid w:val="32750185"/>
    <w:rsid w:val="32F81A96"/>
    <w:rsid w:val="33B51FDA"/>
    <w:rsid w:val="33B97CEA"/>
    <w:rsid w:val="342F41AF"/>
    <w:rsid w:val="346D0DDA"/>
    <w:rsid w:val="34E110F2"/>
    <w:rsid w:val="350152B5"/>
    <w:rsid w:val="35B3714C"/>
    <w:rsid w:val="35F9083E"/>
    <w:rsid w:val="362B4B1C"/>
    <w:rsid w:val="36970032"/>
    <w:rsid w:val="36E829F8"/>
    <w:rsid w:val="374448D2"/>
    <w:rsid w:val="37533025"/>
    <w:rsid w:val="37770356"/>
    <w:rsid w:val="378E3356"/>
    <w:rsid w:val="37BC5527"/>
    <w:rsid w:val="37E561F2"/>
    <w:rsid w:val="386B4484"/>
    <w:rsid w:val="387B156C"/>
    <w:rsid w:val="38815040"/>
    <w:rsid w:val="38B77DBA"/>
    <w:rsid w:val="392B0E69"/>
    <w:rsid w:val="39B606BC"/>
    <w:rsid w:val="39D57F0E"/>
    <w:rsid w:val="3AA45370"/>
    <w:rsid w:val="3ACC5B3D"/>
    <w:rsid w:val="3AE10C1F"/>
    <w:rsid w:val="3B1E2D4B"/>
    <w:rsid w:val="3B470119"/>
    <w:rsid w:val="3B702855"/>
    <w:rsid w:val="3B7B0319"/>
    <w:rsid w:val="3B7E5A04"/>
    <w:rsid w:val="3BEE7EAD"/>
    <w:rsid w:val="3BF85EF9"/>
    <w:rsid w:val="3C7F4B0D"/>
    <w:rsid w:val="3CAB7F17"/>
    <w:rsid w:val="3CE1290D"/>
    <w:rsid w:val="3D2B252D"/>
    <w:rsid w:val="3DC97E82"/>
    <w:rsid w:val="3DEF3D9F"/>
    <w:rsid w:val="3EC014A3"/>
    <w:rsid w:val="3F0B3DF6"/>
    <w:rsid w:val="3F1D1DB4"/>
    <w:rsid w:val="3FAD4DA9"/>
    <w:rsid w:val="3FC45A93"/>
    <w:rsid w:val="3FC94034"/>
    <w:rsid w:val="3FD14B13"/>
    <w:rsid w:val="3FD7050E"/>
    <w:rsid w:val="401F1429"/>
    <w:rsid w:val="40447A15"/>
    <w:rsid w:val="40981D46"/>
    <w:rsid w:val="40C4524F"/>
    <w:rsid w:val="41064D0E"/>
    <w:rsid w:val="410C017D"/>
    <w:rsid w:val="425A31D4"/>
    <w:rsid w:val="42D1480B"/>
    <w:rsid w:val="42F0434A"/>
    <w:rsid w:val="43000453"/>
    <w:rsid w:val="43396B36"/>
    <w:rsid w:val="433D6DBA"/>
    <w:rsid w:val="434D3CA7"/>
    <w:rsid w:val="437F3F8B"/>
    <w:rsid w:val="43E87EA3"/>
    <w:rsid w:val="43F46968"/>
    <w:rsid w:val="4427580A"/>
    <w:rsid w:val="44321F71"/>
    <w:rsid w:val="4447627F"/>
    <w:rsid w:val="44797679"/>
    <w:rsid w:val="44B8628D"/>
    <w:rsid w:val="44D45DED"/>
    <w:rsid w:val="44D836CC"/>
    <w:rsid w:val="45442489"/>
    <w:rsid w:val="454F7F8B"/>
    <w:rsid w:val="45CD69A5"/>
    <w:rsid w:val="45DC66E4"/>
    <w:rsid w:val="460E4795"/>
    <w:rsid w:val="4624120A"/>
    <w:rsid w:val="468A3901"/>
    <w:rsid w:val="46B817C7"/>
    <w:rsid w:val="47314E5B"/>
    <w:rsid w:val="47553725"/>
    <w:rsid w:val="4820317F"/>
    <w:rsid w:val="48A50BA3"/>
    <w:rsid w:val="48CA2F83"/>
    <w:rsid w:val="490F33CC"/>
    <w:rsid w:val="49857E20"/>
    <w:rsid w:val="49F821E9"/>
    <w:rsid w:val="4A081BD8"/>
    <w:rsid w:val="4A486B60"/>
    <w:rsid w:val="4AF83705"/>
    <w:rsid w:val="4B15047D"/>
    <w:rsid w:val="4BBA14CC"/>
    <w:rsid w:val="4C7910C5"/>
    <w:rsid w:val="4CC6346C"/>
    <w:rsid w:val="4CFC70AE"/>
    <w:rsid w:val="4D25547A"/>
    <w:rsid w:val="4D3B490E"/>
    <w:rsid w:val="4D617B07"/>
    <w:rsid w:val="4E6529D5"/>
    <w:rsid w:val="4ED152B3"/>
    <w:rsid w:val="4F0F4119"/>
    <w:rsid w:val="4F3C3ACC"/>
    <w:rsid w:val="4F7B7BD9"/>
    <w:rsid w:val="4F9B5DE2"/>
    <w:rsid w:val="4FA03482"/>
    <w:rsid w:val="4FB9245B"/>
    <w:rsid w:val="4FC251EE"/>
    <w:rsid w:val="4FCB7A49"/>
    <w:rsid w:val="50221D62"/>
    <w:rsid w:val="502F6046"/>
    <w:rsid w:val="506D5907"/>
    <w:rsid w:val="507B329D"/>
    <w:rsid w:val="50986F00"/>
    <w:rsid w:val="50A87266"/>
    <w:rsid w:val="50A963FD"/>
    <w:rsid w:val="50B923A2"/>
    <w:rsid w:val="50DB117C"/>
    <w:rsid w:val="511308D3"/>
    <w:rsid w:val="51691D58"/>
    <w:rsid w:val="51845870"/>
    <w:rsid w:val="519A3924"/>
    <w:rsid w:val="51AB222B"/>
    <w:rsid w:val="52113E74"/>
    <w:rsid w:val="521C4D2E"/>
    <w:rsid w:val="525E39B3"/>
    <w:rsid w:val="5309067F"/>
    <w:rsid w:val="533F5229"/>
    <w:rsid w:val="5394161F"/>
    <w:rsid w:val="541E5A0C"/>
    <w:rsid w:val="547B1955"/>
    <w:rsid w:val="54A92AE8"/>
    <w:rsid w:val="54AF08C6"/>
    <w:rsid w:val="550F640B"/>
    <w:rsid w:val="55345EC4"/>
    <w:rsid w:val="555D063F"/>
    <w:rsid w:val="55C63142"/>
    <w:rsid w:val="55C71A0E"/>
    <w:rsid w:val="560D45C6"/>
    <w:rsid w:val="560D7E52"/>
    <w:rsid w:val="566D4D24"/>
    <w:rsid w:val="566E43BE"/>
    <w:rsid w:val="56E2746A"/>
    <w:rsid w:val="56F658BD"/>
    <w:rsid w:val="57277626"/>
    <w:rsid w:val="5729591F"/>
    <w:rsid w:val="57561879"/>
    <w:rsid w:val="57837273"/>
    <w:rsid w:val="57CD0E7B"/>
    <w:rsid w:val="57CE1B7E"/>
    <w:rsid w:val="57F80F2A"/>
    <w:rsid w:val="586A23B1"/>
    <w:rsid w:val="59207A8F"/>
    <w:rsid w:val="5A0E0E4F"/>
    <w:rsid w:val="5A205037"/>
    <w:rsid w:val="5A2120C5"/>
    <w:rsid w:val="5A3C236A"/>
    <w:rsid w:val="5A4C51F6"/>
    <w:rsid w:val="5A4E7275"/>
    <w:rsid w:val="5AB04A11"/>
    <w:rsid w:val="5AE76B11"/>
    <w:rsid w:val="5AEC5C96"/>
    <w:rsid w:val="5B0833BF"/>
    <w:rsid w:val="5B0E4079"/>
    <w:rsid w:val="5BA425D2"/>
    <w:rsid w:val="5BAF00BD"/>
    <w:rsid w:val="5BF005D1"/>
    <w:rsid w:val="5CA26E68"/>
    <w:rsid w:val="5D073A14"/>
    <w:rsid w:val="5D2406AA"/>
    <w:rsid w:val="5D723FF8"/>
    <w:rsid w:val="5D7E77C2"/>
    <w:rsid w:val="5DDD50CB"/>
    <w:rsid w:val="5E5F71D2"/>
    <w:rsid w:val="5EFF7537"/>
    <w:rsid w:val="5F057B5D"/>
    <w:rsid w:val="5F2C5342"/>
    <w:rsid w:val="5F8F733E"/>
    <w:rsid w:val="5F932434"/>
    <w:rsid w:val="5FC55FA2"/>
    <w:rsid w:val="5FD8653C"/>
    <w:rsid w:val="5FDA6B79"/>
    <w:rsid w:val="601520E1"/>
    <w:rsid w:val="605F5CC8"/>
    <w:rsid w:val="60B239E0"/>
    <w:rsid w:val="612B2474"/>
    <w:rsid w:val="61502274"/>
    <w:rsid w:val="61B37B81"/>
    <w:rsid w:val="61C471A3"/>
    <w:rsid w:val="61F81BA0"/>
    <w:rsid w:val="6286063A"/>
    <w:rsid w:val="629F134C"/>
    <w:rsid w:val="635F0AA4"/>
    <w:rsid w:val="63744B50"/>
    <w:rsid w:val="638A7801"/>
    <w:rsid w:val="638C30D9"/>
    <w:rsid w:val="63A155BF"/>
    <w:rsid w:val="66400F0D"/>
    <w:rsid w:val="669018C4"/>
    <w:rsid w:val="66CE004A"/>
    <w:rsid w:val="66FF49C2"/>
    <w:rsid w:val="68094C3A"/>
    <w:rsid w:val="6825646F"/>
    <w:rsid w:val="682C280C"/>
    <w:rsid w:val="684C5F39"/>
    <w:rsid w:val="685779A2"/>
    <w:rsid w:val="68782B12"/>
    <w:rsid w:val="692D669A"/>
    <w:rsid w:val="695316BB"/>
    <w:rsid w:val="69590C7C"/>
    <w:rsid w:val="69635855"/>
    <w:rsid w:val="69971B44"/>
    <w:rsid w:val="69E479BE"/>
    <w:rsid w:val="6A484A87"/>
    <w:rsid w:val="6A93522A"/>
    <w:rsid w:val="6AB40CF4"/>
    <w:rsid w:val="6AF46499"/>
    <w:rsid w:val="6B2731A1"/>
    <w:rsid w:val="6B534A0D"/>
    <w:rsid w:val="6BA257E2"/>
    <w:rsid w:val="6BA82671"/>
    <w:rsid w:val="6C335886"/>
    <w:rsid w:val="6C913CF0"/>
    <w:rsid w:val="6CE116EB"/>
    <w:rsid w:val="6D2634A0"/>
    <w:rsid w:val="6D4113E3"/>
    <w:rsid w:val="6D491F96"/>
    <w:rsid w:val="6DBF7283"/>
    <w:rsid w:val="6E7F558E"/>
    <w:rsid w:val="6EA44903"/>
    <w:rsid w:val="6ECD5395"/>
    <w:rsid w:val="6F097333"/>
    <w:rsid w:val="6F267D5E"/>
    <w:rsid w:val="6FAD6CFC"/>
    <w:rsid w:val="6FB91DC2"/>
    <w:rsid w:val="704056F7"/>
    <w:rsid w:val="70DC792E"/>
    <w:rsid w:val="71F55E15"/>
    <w:rsid w:val="72632102"/>
    <w:rsid w:val="727E228A"/>
    <w:rsid w:val="728A4488"/>
    <w:rsid w:val="728B4494"/>
    <w:rsid w:val="72BC4E87"/>
    <w:rsid w:val="72D625DB"/>
    <w:rsid w:val="72E72287"/>
    <w:rsid w:val="73462AFF"/>
    <w:rsid w:val="74597AC4"/>
    <w:rsid w:val="74D82DF5"/>
    <w:rsid w:val="75AE345C"/>
    <w:rsid w:val="75B3457D"/>
    <w:rsid w:val="763726A9"/>
    <w:rsid w:val="76D1652C"/>
    <w:rsid w:val="770E0732"/>
    <w:rsid w:val="770F419A"/>
    <w:rsid w:val="77171F9D"/>
    <w:rsid w:val="77A50841"/>
    <w:rsid w:val="77A517C7"/>
    <w:rsid w:val="7845735B"/>
    <w:rsid w:val="7847469D"/>
    <w:rsid w:val="78D9755A"/>
    <w:rsid w:val="79027079"/>
    <w:rsid w:val="79341F46"/>
    <w:rsid w:val="79590294"/>
    <w:rsid w:val="7969175C"/>
    <w:rsid w:val="7972647D"/>
    <w:rsid w:val="79780BD4"/>
    <w:rsid w:val="798763AE"/>
    <w:rsid w:val="7993425C"/>
    <w:rsid w:val="7A521717"/>
    <w:rsid w:val="7A9071C1"/>
    <w:rsid w:val="7A995E93"/>
    <w:rsid w:val="7AD76164"/>
    <w:rsid w:val="7B33107C"/>
    <w:rsid w:val="7B3431F3"/>
    <w:rsid w:val="7B52156E"/>
    <w:rsid w:val="7B7918CC"/>
    <w:rsid w:val="7BBC03A9"/>
    <w:rsid w:val="7BC93C26"/>
    <w:rsid w:val="7BCD3DD9"/>
    <w:rsid w:val="7C1D6D69"/>
    <w:rsid w:val="7C8668BF"/>
    <w:rsid w:val="7D300F22"/>
    <w:rsid w:val="7DA13A25"/>
    <w:rsid w:val="7DA55F7A"/>
    <w:rsid w:val="7E0109C9"/>
    <w:rsid w:val="7E114AD5"/>
    <w:rsid w:val="7E3C77F5"/>
    <w:rsid w:val="7EED60C5"/>
    <w:rsid w:val="7F5F577C"/>
    <w:rsid w:val="7F840F53"/>
    <w:rsid w:val="7FA846D4"/>
    <w:rsid w:val="7FD1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numPr>
        <w:ilvl w:val="0"/>
        <w:numId w:val="1"/>
      </w:numPr>
      <w:tabs>
        <w:tab w:val="left" w:pos="720"/>
      </w:tabs>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index 4"/>
    <w:basedOn w:val="1"/>
    <w:next w:val="1"/>
    <w:unhideWhenUsed/>
    <w:qFormat/>
    <w:uiPriority w:val="99"/>
    <w:pPr>
      <w:framePr w:hSpace="180" w:wrap="around" w:vAnchor="text" w:hAnchor="page" w:xAlign="center" w:y="387"/>
      <w:suppressOverlap/>
      <w:spacing w:line="360" w:lineRule="auto"/>
    </w:p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69"/>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8400"/>
      </w:tabs>
      <w:spacing w:line="440" w:lineRule="exact"/>
      <w:ind w:left="280" w:leftChars="100" w:right="-91" w:rightChars="-91"/>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qFormat/>
    <w:uiPriority w:val="0"/>
    <w:pPr>
      <w:widowControl w:val="0"/>
      <w:tabs>
        <w:tab w:val="clear" w:pos="1134"/>
      </w:tabs>
      <w:adjustRightInd/>
      <w:snapToGrid/>
      <w:spacing w:line="240" w:lineRule="auto"/>
    </w:pPr>
    <w:rPr>
      <w:rFonts w:eastAsia="宋体"/>
      <w:b/>
      <w:kern w:val="2"/>
      <w:sz w:val="21"/>
      <w:lang w:eastAsia="zh-CN"/>
    </w:r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qFormat/>
    <w:uiPriority w:val="0"/>
    <w:pPr>
      <w:spacing w:after="120" w:line="240" w:lineRule="auto"/>
      <w:ind w:left="420" w:leftChars="200" w:firstLine="420" w:firstLineChars="200"/>
    </w:pPr>
    <w:rPr>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rPr>
  </w:style>
  <w:style w:type="character" w:styleId="67">
    <w:name w:val="footnote reference"/>
    <w:qFormat/>
    <w:uiPriority w:val="0"/>
    <w:rPr>
      <w:position w:val="6"/>
      <w:sz w:val="14"/>
      <w:vertAlign w:val="superscript"/>
    </w:rPr>
  </w:style>
  <w:style w:type="character" w:customStyle="1" w:styleId="68">
    <w:name w:val="标题 2 字符"/>
    <w:link w:val="3"/>
    <w:qFormat/>
    <w:uiPriority w:val="0"/>
    <w:rPr>
      <w:rFonts w:ascii="宋体" w:hAnsi="宋体"/>
      <w:kern w:val="2"/>
      <w:sz w:val="28"/>
    </w:rPr>
  </w:style>
  <w:style w:type="character" w:customStyle="1" w:styleId="69">
    <w:name w:val="日期 字符"/>
    <w:link w:val="33"/>
    <w:qFormat/>
    <w:uiPriority w:val="0"/>
    <w:rPr>
      <w:kern w:val="2"/>
      <w:sz w:val="28"/>
    </w:rPr>
  </w:style>
  <w:style w:type="character" w:customStyle="1" w:styleId="70">
    <w:name w:val="样式 宋体"/>
    <w:qFormat/>
    <w:uiPriority w:val="0"/>
    <w:rPr>
      <w:rFonts w:ascii="宋体" w:hAnsi="宋体" w:eastAsia="宋体"/>
      <w:sz w:val="28"/>
    </w:rPr>
  </w:style>
  <w:style w:type="character" w:customStyle="1" w:styleId="71">
    <w:name w:val="Char Char5"/>
    <w:qFormat/>
    <w:uiPriority w:val="0"/>
    <w:rPr>
      <w:rFonts w:ascii="Arial" w:hAnsi="Arial" w:eastAsia="宋体"/>
      <w:b/>
      <w:smallCaps/>
      <w:kern w:val="28"/>
      <w:sz w:val="36"/>
      <w:lang w:val="en-US" w:eastAsia="en-US"/>
    </w:rPr>
  </w:style>
  <w:style w:type="character" w:customStyle="1" w:styleId="72">
    <w:name w:val="top-det1"/>
    <w:qFormat/>
    <w:uiPriority w:val="0"/>
    <w:rPr>
      <w:b/>
      <w:color w:val="000000"/>
    </w:rPr>
  </w:style>
  <w:style w:type="character" w:customStyle="1" w:styleId="73">
    <w:name w:val="font1"/>
    <w:qFormat/>
    <w:uiPriority w:val="0"/>
    <w:rPr>
      <w:color w:val="000000"/>
      <w:sz w:val="18"/>
    </w:rPr>
  </w:style>
  <w:style w:type="character" w:customStyle="1" w:styleId="74">
    <w:name w:val="标书正文:  0.74 厘米 Char1"/>
    <w:qFormat/>
    <w:uiPriority w:val="0"/>
    <w:rPr>
      <w:rFonts w:eastAsia="宋体"/>
      <w:kern w:val="2"/>
      <w:sz w:val="24"/>
      <w:lang w:val="en-US" w:eastAsia="zh-CN"/>
    </w:rPr>
  </w:style>
  <w:style w:type="character" w:customStyle="1" w:styleId="75">
    <w:name w:val="小 Char"/>
    <w:qFormat/>
    <w:uiPriority w:val="0"/>
    <w:rPr>
      <w:rFonts w:ascii="宋体" w:hAnsi="Courier New" w:eastAsia="宋体"/>
      <w:kern w:val="2"/>
      <w:sz w:val="21"/>
      <w:lang w:val="en-US" w:eastAsia="zh-CN" w:bidi="ar-SA"/>
    </w:rPr>
  </w:style>
  <w:style w:type="character" w:customStyle="1" w:styleId="76">
    <w:name w:val="Char Char"/>
    <w:qFormat/>
    <w:uiPriority w:val="0"/>
    <w:rPr>
      <w:rFonts w:ascii="宋体" w:hAnsi="宋体" w:eastAsia="宋体"/>
      <w:kern w:val="2"/>
      <w:sz w:val="24"/>
      <w:lang w:val="en-US" w:eastAsia="zh-CN" w:bidi="ar-SA"/>
    </w:rPr>
  </w:style>
  <w:style w:type="character" w:customStyle="1" w:styleId="77">
    <w:name w:val="Char Char2"/>
    <w:qFormat/>
    <w:uiPriority w:val="0"/>
    <w:rPr>
      <w:rFonts w:eastAsia="宋体"/>
      <w:kern w:val="2"/>
      <w:sz w:val="18"/>
      <w:lang w:val="en-US" w:eastAsia="zh-CN"/>
    </w:rPr>
  </w:style>
  <w:style w:type="character" w:customStyle="1" w:styleId="78">
    <w:name w:val="v151"/>
    <w:qFormat/>
    <w:uiPriority w:val="0"/>
    <w:rPr>
      <w:sz w:val="18"/>
    </w:rPr>
  </w:style>
  <w:style w:type="character" w:customStyle="1" w:styleId="79">
    <w:name w:val="Table Text Char"/>
    <w:qFormat/>
    <w:uiPriority w:val="0"/>
    <w:rPr>
      <w:rFonts w:ascii="Arial" w:hAnsi="Arial"/>
      <w:kern w:val="2"/>
      <w:sz w:val="18"/>
      <w:lang w:val="en-US" w:eastAsia="zh-CN" w:bidi="ar-SA"/>
    </w:rPr>
  </w:style>
  <w:style w:type="character" w:customStyle="1" w:styleId="80">
    <w:name w:val="未命名11"/>
    <w:qFormat/>
    <w:uiPriority w:val="0"/>
    <w:rPr>
      <w:color w:val="77FFFF"/>
      <w:sz w:val="24"/>
    </w:rPr>
  </w:style>
  <w:style w:type="character" w:customStyle="1" w:styleId="81">
    <w:name w:val="Table Text Char Char Char Char"/>
    <w:qFormat/>
    <w:uiPriority w:val="0"/>
    <w:rPr>
      <w:rFonts w:ascii="Arial" w:hAnsi="Arial"/>
      <w:kern w:val="2"/>
      <w:sz w:val="18"/>
      <w:lang w:val="en-US" w:eastAsia="zh-CN" w:bidi="ar-SA"/>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正文 + 三号 Char"/>
    <w:qFormat/>
    <w:uiPriority w:val="0"/>
    <w:rPr>
      <w:rFonts w:eastAsia="宋体"/>
      <w:kern w:val="2"/>
      <w:sz w:val="21"/>
      <w:lang w:val="en-US" w:eastAsia="zh-CN"/>
    </w:rPr>
  </w:style>
  <w:style w:type="character" w:customStyle="1" w:styleId="84">
    <w:name w:val="Char Char6"/>
    <w:qFormat/>
    <w:uiPriority w:val="0"/>
    <w:rPr>
      <w:rFonts w:ascii="仿宋_GB2312" w:eastAsia="仿宋_GB2312"/>
      <w:kern w:val="2"/>
      <w:sz w:val="32"/>
    </w:rPr>
  </w:style>
  <w:style w:type="character" w:customStyle="1" w:styleId="85">
    <w:name w:val="Table Text Char1 Char"/>
    <w:qFormat/>
    <w:uiPriority w:val="0"/>
    <w:rPr>
      <w:rFonts w:ascii="Arial" w:hAnsi="Arial"/>
      <w:kern w:val="2"/>
      <w:sz w:val="18"/>
      <w:lang w:val="en-US" w:eastAsia="zh-CN" w:bidi="ar-SA"/>
    </w:rPr>
  </w:style>
  <w:style w:type="character" w:customStyle="1" w:styleId="86">
    <w:name w:val="文字 Char"/>
    <w:link w:val="87"/>
    <w:qFormat/>
    <w:uiPriority w:val="0"/>
    <w:rPr>
      <w:rFonts w:ascii="宋体" w:eastAsia="宋体"/>
      <w:kern w:val="2"/>
      <w:sz w:val="28"/>
      <w:lang w:val="en-US" w:eastAsia="zh-CN" w:bidi="ar-SA"/>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Char Char7"/>
    <w:qFormat/>
    <w:uiPriority w:val="0"/>
    <w:rPr>
      <w:rFonts w:ascii="宋体" w:hAnsi="宋体" w:eastAsia="宋体"/>
      <w:kern w:val="2"/>
      <w:sz w:val="28"/>
    </w:rPr>
  </w:style>
  <w:style w:type="character" w:customStyle="1" w:styleId="89">
    <w:name w:val="content-white1"/>
    <w:qFormat/>
    <w:uiPriority w:val="0"/>
    <w:rPr>
      <w:rFonts w:ascii="_x000B__x000C_" w:hAnsi="_x000B__x000C_"/>
      <w:color w:val="auto"/>
      <w:sz w:val="18"/>
      <w:u w:val="none"/>
    </w:rPr>
  </w:style>
  <w:style w:type="character" w:customStyle="1" w:styleId="90">
    <w:name w:val="Char Char3"/>
    <w:uiPriority w:val="0"/>
    <w:rPr>
      <w:rFonts w:eastAsia="宋体"/>
      <w:kern w:val="2"/>
      <w:sz w:val="18"/>
      <w:lang w:val="en-US" w:eastAsia="zh-CN"/>
    </w:rPr>
  </w:style>
  <w:style w:type="character" w:customStyle="1" w:styleId="91">
    <w:name w:val="crowed11"/>
    <w:uiPriority w:val="0"/>
    <w:rPr>
      <w:rFonts w:hint="default" w:ascii="_x000B__x000C_" w:hAnsi="_x000B__x000C_"/>
      <w:sz w:val="24"/>
    </w:rPr>
  </w:style>
  <w:style w:type="character" w:customStyle="1" w:styleId="92">
    <w:name w:val="Char Char4"/>
    <w:qFormat/>
    <w:uiPriority w:val="0"/>
    <w:rPr>
      <w:rFonts w:eastAsia="宋体"/>
      <w:b/>
      <w:kern w:val="2"/>
      <w:sz w:val="21"/>
      <w:lang w:val="en-US" w:eastAsia="zh-CN"/>
    </w:rPr>
  </w:style>
  <w:style w:type="paragraph" w:customStyle="1" w:styleId="93">
    <w:name w:val="正文表格"/>
    <w:basedOn w:val="1"/>
    <w:uiPriority w:val="0"/>
    <w:pPr>
      <w:adjustRightInd w:val="0"/>
      <w:spacing w:before="40" w:after="40"/>
    </w:pPr>
    <w:rPr>
      <w:sz w:val="24"/>
    </w:rPr>
  </w:style>
  <w:style w:type="paragraph" w:customStyle="1" w:styleId="94">
    <w:name w:val="样式 样式 首行缩进:  2 字符 + 首行缩进:  2 字符"/>
    <w:basedOn w:val="1"/>
    <w:uiPriority w:val="0"/>
    <w:pPr>
      <w:numPr>
        <w:ilvl w:val="0"/>
        <w:numId w:val="6"/>
      </w:numPr>
      <w:tabs>
        <w:tab w:val="clear" w:pos="1230"/>
      </w:tabs>
      <w:spacing w:line="360" w:lineRule="auto"/>
      <w:ind w:firstLine="480" w:firstLineChars="200"/>
    </w:pPr>
    <w:rPr>
      <w:sz w:val="24"/>
    </w:rPr>
  </w:style>
  <w:style w:type="paragraph" w:customStyle="1" w:styleId="95">
    <w:name w:val="样式 宋体 五号 两端对齐 行距: 单倍行距"/>
    <w:basedOn w:val="1"/>
    <w:uiPriority w:val="0"/>
    <w:pPr>
      <w:adjustRightInd w:val="0"/>
      <w:textAlignment w:val="baseline"/>
    </w:pPr>
    <w:rPr>
      <w:rFonts w:ascii="宋体" w:hAnsi="宋体"/>
      <w:kern w:val="0"/>
      <w:sz w:val="21"/>
    </w:rPr>
  </w:style>
  <w:style w:type="paragraph" w:customStyle="1" w:styleId="96">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7">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98">
    <w:name w:val="编号正文"/>
    <w:basedOn w:val="99"/>
    <w:uiPriority w:val="0"/>
    <w:pPr>
      <w:snapToGrid/>
      <w:spacing w:line="360" w:lineRule="auto"/>
      <w:ind w:left="1407" w:hanging="1047"/>
      <w:jc w:val="left"/>
    </w:pPr>
    <w:rPr>
      <w:rFonts w:eastAsia="仿宋_GB2312"/>
    </w:rPr>
  </w:style>
  <w:style w:type="paragraph" w:customStyle="1" w:styleId="99">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0">
    <w:name w:val="关键词"/>
    <w:basedOn w:val="1"/>
    <w:next w:val="1"/>
    <w:uiPriority w:val="0"/>
    <w:pPr>
      <w:spacing w:line="360" w:lineRule="auto"/>
    </w:pPr>
    <w:rPr>
      <w:rFonts w:eastAsia="黑体"/>
      <w:sz w:val="20"/>
    </w:rPr>
  </w:style>
  <w:style w:type="paragraph" w:customStyle="1" w:styleId="101">
    <w:name w:val="默认段落字体 Para Char Char Char Char Char Char Char"/>
    <w:basedOn w:val="1"/>
    <w:uiPriority w:val="0"/>
    <w:rPr>
      <w:rFonts w:ascii="Tahoma" w:hAnsi="Tahoma"/>
      <w:sz w:val="24"/>
    </w:rPr>
  </w:style>
  <w:style w:type="paragraph" w:customStyle="1" w:styleId="102">
    <w:name w:val="Char1 Char Char Char"/>
    <w:basedOn w:val="1"/>
    <w:uiPriority w:val="0"/>
    <w:rPr>
      <w:rFonts w:ascii="Tahoma" w:hAnsi="Tahoma"/>
      <w:sz w:val="21"/>
    </w:rPr>
  </w:style>
  <w:style w:type="paragraph" w:customStyle="1" w:styleId="103">
    <w:name w:val="标书正文:  0.74 厘米"/>
    <w:basedOn w:val="1"/>
    <w:uiPriority w:val="0"/>
    <w:pPr>
      <w:snapToGrid w:val="0"/>
      <w:spacing w:line="360" w:lineRule="auto"/>
      <w:ind w:firstLine="420"/>
    </w:pPr>
    <w:rPr>
      <w:sz w:val="24"/>
    </w:rPr>
  </w:style>
  <w:style w:type="paragraph" w:customStyle="1" w:styleId="104">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105">
    <w:name w:val="样式 标题 6第五层条 + 三号 段前: 0.5 行"/>
    <w:basedOn w:val="7"/>
    <w:uiPriority w:val="0"/>
    <w:pPr>
      <w:widowControl/>
      <w:adjustRightInd/>
      <w:snapToGrid/>
      <w:spacing w:before="156" w:beforeLines="50"/>
      <w:jc w:val="left"/>
    </w:pPr>
    <w:rPr>
      <w:snapToGrid w:val="0"/>
      <w:kern w:val="24"/>
      <w:sz w:val="28"/>
    </w:rPr>
  </w:style>
  <w:style w:type="paragraph" w:customStyle="1" w:styleId="106">
    <w:name w:val="标题无"/>
    <w:basedOn w:val="1"/>
    <w:uiPriority w:val="0"/>
    <w:pPr>
      <w:spacing w:line="360" w:lineRule="auto"/>
    </w:pPr>
    <w:rPr>
      <w:sz w:val="24"/>
    </w:rPr>
  </w:style>
  <w:style w:type="paragraph" w:customStyle="1" w:styleId="107">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08">
    <w:name w:val="style1"/>
    <w:basedOn w:val="1"/>
    <w:uiPriority w:val="0"/>
    <w:pPr>
      <w:widowControl/>
      <w:spacing w:before="100" w:beforeAutospacing="1" w:after="100" w:afterAutospacing="1"/>
      <w:jc w:val="left"/>
    </w:pPr>
    <w:rPr>
      <w:rFonts w:ascii="宋体" w:hAnsi="宋体"/>
      <w:kern w:val="0"/>
      <w:sz w:val="21"/>
    </w:rPr>
  </w:style>
  <w:style w:type="paragraph" w:customStyle="1" w:styleId="109">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11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11">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14">
    <w:name w:val="文本框样式1"/>
    <w:basedOn w:val="1"/>
    <w:qFormat/>
    <w:uiPriority w:val="0"/>
    <w:pPr>
      <w:adjustRightInd w:val="0"/>
      <w:snapToGrid w:val="0"/>
      <w:spacing w:before="60" w:line="180" w:lineRule="exact"/>
      <w:jc w:val="center"/>
    </w:pPr>
    <w:rPr>
      <w:sz w:val="21"/>
    </w:rPr>
  </w:style>
  <w:style w:type="paragraph" w:customStyle="1" w:styleId="115">
    <w:name w:val="列表项目"/>
    <w:basedOn w:val="1"/>
    <w:qFormat/>
    <w:uiPriority w:val="0"/>
    <w:pPr>
      <w:numPr>
        <w:ilvl w:val="0"/>
        <w:numId w:val="7"/>
      </w:numPr>
      <w:tabs>
        <w:tab w:val="left" w:pos="420"/>
        <w:tab w:val="clear" w:pos="980"/>
      </w:tabs>
      <w:spacing w:line="288" w:lineRule="auto"/>
      <w:ind w:left="840" w:leftChars="200" w:hanging="420" w:hangingChars="200"/>
    </w:pPr>
    <w:rPr>
      <w:sz w:val="21"/>
    </w:rPr>
  </w:style>
  <w:style w:type="paragraph" w:customStyle="1" w:styleId="11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17">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8">
    <w:name w:val="Char1"/>
    <w:basedOn w:val="1"/>
    <w:qFormat/>
    <w:uiPriority w:val="0"/>
    <w:rPr>
      <w:sz w:val="21"/>
    </w:rPr>
  </w:style>
  <w:style w:type="paragraph" w:customStyle="1" w:styleId="119">
    <w:name w:val="1.正文"/>
    <w:basedOn w:val="1"/>
    <w:qFormat/>
    <w:uiPriority w:val="0"/>
    <w:pPr>
      <w:spacing w:line="360" w:lineRule="auto"/>
      <w:ind w:left="540" w:leftChars="225" w:firstLine="540" w:firstLineChars="225"/>
    </w:pPr>
    <w:rPr>
      <w:sz w:val="24"/>
    </w:rPr>
  </w:style>
  <w:style w:type="paragraph" w:customStyle="1" w:styleId="120">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23">
    <w:name w:val="标准正文"/>
    <w:basedOn w:val="23"/>
    <w:qFormat/>
    <w:uiPriority w:val="0"/>
    <w:pPr>
      <w:spacing w:before="60" w:after="60" w:line="360" w:lineRule="auto"/>
      <w:ind w:left="0" w:firstLine="482"/>
    </w:pPr>
    <w:rPr>
      <w:rFonts w:ascii="Arial" w:hAnsi="Arial"/>
      <w:sz w:val="24"/>
    </w:rPr>
  </w:style>
  <w:style w:type="paragraph" w:customStyle="1" w:styleId="124">
    <w:name w:val="标题3——2"/>
    <w:basedOn w:val="4"/>
    <w:next w:val="56"/>
    <w:qFormat/>
    <w:uiPriority w:val="0"/>
    <w:pPr>
      <w:tabs>
        <w:tab w:val="left" w:pos="1280"/>
        <w:tab w:val="right" w:leader="dot" w:pos="8777"/>
      </w:tabs>
      <w:spacing w:before="312" w:beforeLines="100" w:after="0" w:line="240" w:lineRule="auto"/>
      <w:ind w:left="851" w:hanging="851"/>
      <w:jc w:val="both"/>
      <w:outlineLvl w:val="9"/>
    </w:pPr>
    <w:rPr>
      <w:rFonts w:ascii="黑体" w:hAnsi="宋体" w:eastAsia="黑体"/>
      <w:sz w:val="30"/>
    </w:rPr>
  </w:style>
  <w:style w:type="paragraph" w:customStyle="1" w:styleId="125">
    <w:name w:val="二级列表"/>
    <w:basedOn w:val="126"/>
    <w:next w:val="126"/>
    <w:qFormat/>
    <w:uiPriority w:val="0"/>
    <w:pPr>
      <w:tabs>
        <w:tab w:val="left" w:pos="2120"/>
      </w:tabs>
      <w:ind w:firstLine="0" w:firstLineChars="0"/>
    </w:pPr>
    <w:rPr>
      <w:b/>
    </w:rPr>
  </w:style>
  <w:style w:type="paragraph" w:customStyle="1" w:styleId="126">
    <w:name w:val="段落正文"/>
    <w:basedOn w:val="1"/>
    <w:qFormat/>
    <w:uiPriority w:val="0"/>
    <w:pPr>
      <w:spacing w:before="156" w:beforeLines="50" w:line="360" w:lineRule="auto"/>
      <w:ind w:firstLine="200" w:firstLineChars="200"/>
    </w:pPr>
    <w:rPr>
      <w:spacing w:val="2"/>
      <w:sz w:val="24"/>
    </w:rPr>
  </w:style>
  <w:style w:type="paragraph" w:customStyle="1" w:styleId="1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9">
    <w:name w:val="简单回函地址"/>
    <w:basedOn w:val="1"/>
    <w:qFormat/>
    <w:uiPriority w:val="0"/>
    <w:pPr>
      <w:adjustRightInd w:val="0"/>
      <w:snapToGrid w:val="0"/>
      <w:spacing w:line="360" w:lineRule="auto"/>
    </w:pPr>
    <w:rPr>
      <w:sz w:val="24"/>
    </w:rPr>
  </w:style>
  <w:style w:type="paragraph" w:customStyle="1" w:styleId="13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1"/>
    <w:basedOn w:val="1"/>
    <w:qFormat/>
    <w:uiPriority w:val="0"/>
    <w:rPr>
      <w:rFonts w:ascii="Tahoma" w:hAnsi="Tahoma"/>
      <w:sz w:val="24"/>
    </w:rPr>
  </w:style>
  <w:style w:type="paragraph" w:customStyle="1" w:styleId="133">
    <w:name w:val="Title - Revision"/>
    <w:basedOn w:val="54"/>
    <w:qFormat/>
    <w:uiPriority w:val="0"/>
    <w:pPr>
      <w:spacing w:before="720"/>
    </w:pPr>
  </w:style>
  <w:style w:type="paragraph" w:customStyle="1" w:styleId="13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5">
    <w:name w:val="样式1xz"/>
    <w:basedOn w:val="1"/>
    <w:qFormat/>
    <w:uiPriority w:val="0"/>
    <w:pPr>
      <w:tabs>
        <w:tab w:val="left" w:pos="1050"/>
        <w:tab w:val="right" w:leader="dot" w:pos="8296"/>
      </w:tabs>
    </w:pPr>
    <w:rPr>
      <w:caps/>
      <w:spacing w:val="20"/>
      <w:sz w:val="24"/>
    </w:rPr>
  </w:style>
  <w:style w:type="paragraph" w:customStyle="1" w:styleId="136">
    <w:name w:val="Style Heading 3h3Heading 3 - oldLevel 3 HeadH3level_3PIM 3se..."/>
    <w:basedOn w:val="4"/>
    <w:qFormat/>
    <w:uiPriority w:val="0"/>
    <w:pPr>
      <w:numPr>
        <w:ilvl w:val="2"/>
        <w:numId w:val="10"/>
      </w:numPr>
      <w:jc w:val="both"/>
    </w:pPr>
    <w:rPr>
      <w:sz w:val="32"/>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0">
    <w:name w:val="Char"/>
    <w:basedOn w:val="1"/>
    <w:qFormat/>
    <w:uiPriority w:val="0"/>
    <w:pPr>
      <w:widowControl/>
      <w:spacing w:line="400" w:lineRule="exact"/>
      <w:jc w:val="center"/>
    </w:pPr>
    <w:rPr>
      <w:sz w:val="24"/>
    </w:rPr>
  </w:style>
  <w:style w:type="paragraph" w:customStyle="1" w:styleId="141">
    <w:name w:val="文本1"/>
    <w:basedOn w:val="1"/>
    <w:qFormat/>
    <w:uiPriority w:val="0"/>
    <w:pPr>
      <w:adjustRightInd w:val="0"/>
      <w:spacing w:line="312" w:lineRule="atLeast"/>
      <w:jc w:val="center"/>
      <w:textAlignment w:val="baseline"/>
    </w:pPr>
    <w:rPr>
      <w:kern w:val="0"/>
      <w:sz w:val="18"/>
    </w:rPr>
  </w:style>
  <w:style w:type="paragraph" w:customStyle="1" w:styleId="142">
    <w:name w:val="样式 标题 1 + 居中 段前: 6 磅 段后: 6 磅 行距: 1.5 倍行距"/>
    <w:basedOn w:val="2"/>
    <w:qFormat/>
    <w:uiPriority w:val="0"/>
    <w:pPr>
      <w:keepLines/>
      <w:tabs>
        <w:tab w:val="clear" w:pos="3360"/>
      </w:tabs>
      <w:adjustRightInd w:val="0"/>
      <w:spacing w:before="120" w:beforeLines="0" w:line="360" w:lineRule="auto"/>
    </w:pPr>
    <w:rPr>
      <w:rFonts w:eastAsia="宋体"/>
      <w:b/>
      <w:kern w:val="44"/>
      <w:sz w:val="32"/>
    </w:rPr>
  </w:style>
  <w:style w:type="paragraph" w:customStyle="1" w:styleId="143">
    <w:name w:val="00"/>
    <w:basedOn w:val="1"/>
    <w:qFormat/>
    <w:uiPriority w:val="0"/>
    <w:pPr>
      <w:autoSpaceDE w:val="0"/>
      <w:autoSpaceDN w:val="0"/>
      <w:adjustRightInd w:val="0"/>
      <w:jc w:val="left"/>
    </w:pPr>
    <w:rPr>
      <w:rFonts w:ascii="黑体" w:eastAsia="黑体"/>
      <w:b/>
      <w:kern w:val="0"/>
      <w:sz w:val="20"/>
    </w:rPr>
  </w:style>
  <w:style w:type="paragraph" w:customStyle="1" w:styleId="144">
    <w:name w:val="图例"/>
    <w:basedOn w:val="1"/>
    <w:qFormat/>
    <w:uiPriority w:val="0"/>
    <w:pPr>
      <w:spacing w:before="120" w:after="120" w:line="360" w:lineRule="auto"/>
      <w:jc w:val="center"/>
    </w:pPr>
    <w:rPr>
      <w:rFonts w:eastAsia="仿宋_GB2312"/>
      <w:b/>
      <w:sz w:val="24"/>
    </w:rPr>
  </w:style>
  <w:style w:type="paragraph" w:customStyle="1" w:styleId="14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6">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after="330" w:afterLines="0" w:line="578" w:lineRule="atLeast"/>
      <w:jc w:val="both"/>
      <w:textAlignment w:val="bottom"/>
    </w:pPr>
    <w:rPr>
      <w:rFonts w:ascii="宋体" w:hAnsi="宋体"/>
      <w:b/>
      <w:kern w:val="44"/>
      <w:sz w:val="36"/>
    </w:rPr>
  </w:style>
  <w:style w:type="paragraph" w:customStyle="1" w:styleId="147">
    <w:name w:val="样式3"/>
    <w:basedOn w:val="2"/>
    <w:next w:val="2"/>
    <w:qFormat/>
    <w:uiPriority w:val="0"/>
    <w:pPr>
      <w:keepLines/>
      <w:tabs>
        <w:tab w:val="clear" w:pos="3360"/>
      </w:tabs>
      <w:adjustRightInd w:val="0"/>
      <w:spacing w:before="340" w:beforeLines="0" w:after="330" w:afterLines="0" w:line="576" w:lineRule="auto"/>
      <w:jc w:val="both"/>
    </w:pPr>
    <w:rPr>
      <w:b/>
      <w:kern w:val="44"/>
    </w:rPr>
  </w:style>
  <w:style w:type="paragraph" w:customStyle="1" w:styleId="148">
    <w:name w:val="正文字缩2字"/>
    <w:basedOn w:val="1"/>
    <w:qFormat/>
    <w:uiPriority w:val="0"/>
    <w:pPr>
      <w:spacing w:before="60" w:after="60" w:line="360" w:lineRule="auto"/>
      <w:ind w:left="200" w:leftChars="200" w:firstLine="200" w:firstLineChars="200"/>
    </w:pPr>
    <w:rPr>
      <w:sz w:val="24"/>
    </w:rPr>
  </w:style>
  <w:style w:type="paragraph" w:customStyle="1" w:styleId="149">
    <w:name w:val="Char1 Char Char Char1"/>
    <w:basedOn w:val="1"/>
    <w:qFormat/>
    <w:uiPriority w:val="0"/>
    <w:rPr>
      <w:rFonts w:ascii="Tahoma" w:hAnsi="Tahoma"/>
      <w:sz w:val="24"/>
    </w:rPr>
  </w:style>
  <w:style w:type="paragraph" w:customStyle="1" w:styleId="15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2">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3">
    <w:name w:val="样式1"/>
    <w:basedOn w:val="5"/>
    <w:qFormat/>
    <w:uiPriority w:val="0"/>
    <w:pPr>
      <w:spacing w:before="500" w:after="260" w:line="560" w:lineRule="atLeast"/>
    </w:pPr>
  </w:style>
  <w:style w:type="paragraph" w:customStyle="1" w:styleId="154">
    <w:name w:val="Char2"/>
    <w:basedOn w:val="1"/>
    <w:qFormat/>
    <w:uiPriority w:val="0"/>
    <w:pPr>
      <w:spacing w:line="240" w:lineRule="atLeast"/>
      <w:ind w:left="420" w:firstLine="420"/>
    </w:pPr>
    <w:rPr>
      <w:kern w:val="0"/>
      <w:sz w:val="21"/>
    </w:rPr>
  </w:style>
  <w:style w:type="paragraph" w:customStyle="1" w:styleId="15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6">
    <w:name w:val="没有缩进（为图形使用）"/>
    <w:basedOn w:val="1"/>
    <w:qFormat/>
    <w:uiPriority w:val="0"/>
    <w:pPr>
      <w:spacing w:before="120" w:after="120" w:line="360" w:lineRule="auto"/>
    </w:pPr>
    <w:rPr>
      <w:sz w:val="24"/>
    </w:rPr>
  </w:style>
  <w:style w:type="paragraph" w:customStyle="1" w:styleId="157">
    <w:name w:val="样式 宋体 五号 行距: 单倍行距"/>
    <w:basedOn w:val="1"/>
    <w:qFormat/>
    <w:uiPriority w:val="0"/>
    <w:pPr>
      <w:adjustRightInd w:val="0"/>
      <w:jc w:val="left"/>
    </w:pPr>
    <w:rPr>
      <w:rFonts w:ascii="宋体" w:hAnsi="宋体"/>
      <w:kern w:val="0"/>
      <w:sz w:val="21"/>
    </w:rPr>
  </w:style>
  <w:style w:type="paragraph" w:customStyle="1" w:styleId="15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摘要"/>
    <w:basedOn w:val="1"/>
    <w:next w:val="3"/>
    <w:qFormat/>
    <w:uiPriority w:val="0"/>
    <w:pPr>
      <w:spacing w:line="360" w:lineRule="auto"/>
    </w:pPr>
    <w:rPr>
      <w:rFonts w:eastAsia="黑体"/>
      <w:sz w:val="20"/>
    </w:rPr>
  </w:style>
  <w:style w:type="paragraph" w:customStyle="1" w:styleId="160">
    <w:name w:val="图片文字"/>
    <w:basedOn w:val="1"/>
    <w:qFormat/>
    <w:uiPriority w:val="0"/>
    <w:pPr>
      <w:spacing w:line="240" w:lineRule="atLeast"/>
      <w:jc w:val="center"/>
    </w:pPr>
    <w:rPr>
      <w:sz w:val="21"/>
    </w:rPr>
  </w:style>
  <w:style w:type="paragraph" w:customStyle="1" w:styleId="161">
    <w:name w:val="首行缩进 1"/>
    <w:basedOn w:val="1"/>
    <w:qFormat/>
    <w:uiPriority w:val="0"/>
    <w:pPr>
      <w:spacing w:after="120" w:line="360" w:lineRule="auto"/>
      <w:ind w:firstLine="200" w:firstLineChars="200"/>
    </w:pPr>
    <w:rPr>
      <w:sz w:val="24"/>
    </w:rPr>
  </w:style>
  <w:style w:type="paragraph" w:customStyle="1" w:styleId="162">
    <w:name w:val="正文4"/>
    <w:basedOn w:val="1"/>
    <w:qFormat/>
    <w:uiPriority w:val="0"/>
    <w:pPr>
      <w:tabs>
        <w:tab w:val="left" w:pos="1275"/>
      </w:tabs>
      <w:spacing w:before="60" w:after="60" w:line="360" w:lineRule="auto"/>
      <w:ind w:left="820" w:leftChars="400" w:hanging="705"/>
    </w:pPr>
    <w:rPr>
      <w:sz w:val="24"/>
    </w:rPr>
  </w:style>
  <w:style w:type="paragraph" w:customStyle="1" w:styleId="163">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4">
    <w:name w:val="正文文本 21"/>
    <w:basedOn w:val="1"/>
    <w:qFormat/>
    <w:uiPriority w:val="0"/>
    <w:pPr>
      <w:adjustRightInd w:val="0"/>
      <w:spacing w:before="120" w:line="360" w:lineRule="auto"/>
      <w:ind w:firstLine="480"/>
      <w:textAlignment w:val="baseline"/>
    </w:pPr>
    <w:rPr>
      <w:sz w:val="24"/>
    </w:rPr>
  </w:style>
  <w:style w:type="paragraph" w:customStyle="1" w:styleId="165">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表格文本"/>
    <w:qFormat/>
    <w:uiPriority w:val="0"/>
    <w:pPr>
      <w:tabs>
        <w:tab w:val="decimal" w:pos="0"/>
      </w:tabs>
    </w:pPr>
    <w:rPr>
      <w:rFonts w:ascii="Arial" w:hAnsi="Arial" w:eastAsia="宋体" w:cs="Times New Roman"/>
      <w:sz w:val="21"/>
      <w:lang w:val="en-US" w:eastAsia="zh-CN" w:bidi="ar-SA"/>
    </w:rPr>
  </w:style>
  <w:style w:type="paragraph" w:customStyle="1" w:styleId="167">
    <w:name w:val="默认段落字体 Para Char Char Char Char Char Char Char Char Char1 Char Char Char Char"/>
    <w:basedOn w:val="1"/>
    <w:qFormat/>
    <w:uiPriority w:val="0"/>
    <w:rPr>
      <w:rFonts w:ascii="Tahoma" w:hAnsi="Tahoma"/>
      <w:sz w:val="24"/>
    </w:rPr>
  </w:style>
  <w:style w:type="paragraph" w:customStyle="1" w:styleId="168">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16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样式 行距: 1.5 倍行距1"/>
    <w:basedOn w:val="1"/>
    <w:qFormat/>
    <w:uiPriority w:val="0"/>
    <w:pPr>
      <w:snapToGrid w:val="0"/>
    </w:pPr>
    <w:rPr>
      <w:sz w:val="21"/>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内容标题"/>
    <w:basedOn w:val="17"/>
    <w:qFormat/>
    <w:uiPriority w:val="0"/>
    <w:rPr>
      <w:rFonts w:ascii="Tahoma" w:hAnsi="Tahoma"/>
      <w:sz w:val="24"/>
    </w:rPr>
  </w:style>
  <w:style w:type="paragraph" w:customStyle="1" w:styleId="173">
    <w:name w:val="样式2"/>
    <w:basedOn w:val="5"/>
    <w:qFormat/>
    <w:uiPriority w:val="0"/>
    <w:pPr>
      <w:numPr>
        <w:ilvl w:val="0"/>
        <w:numId w:val="14"/>
      </w:numPr>
      <w:spacing w:line="400" w:lineRule="exact"/>
      <w:jc w:val="center"/>
      <w:outlineLvl w:val="0"/>
    </w:pPr>
    <w:rPr>
      <w:b w:val="0"/>
      <w:sz w:val="44"/>
    </w:rPr>
  </w:style>
  <w:style w:type="paragraph" w:customStyle="1" w:styleId="174">
    <w:name w:val="标题2"/>
    <w:basedOn w:val="3"/>
    <w:qFormat/>
    <w:uiPriority w:val="0"/>
    <w:pPr>
      <w:keepNext w:val="0"/>
      <w:keepLines w:val="0"/>
      <w:ind w:firstLine="574" w:firstLineChars="196"/>
      <w:outlineLvl w:val="9"/>
    </w:pPr>
    <w:rPr>
      <w:b/>
      <w:spacing w:val="6"/>
      <w:u w:val="single"/>
    </w:rPr>
  </w:style>
  <w:style w:type="paragraph" w:customStyle="1" w:styleId="175">
    <w:name w:val="IN Feature"/>
    <w:next w:val="9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Char Char1 Char"/>
    <w:basedOn w:val="1"/>
    <w:qFormat/>
    <w:uiPriority w:val="0"/>
    <w:rPr>
      <w:rFonts w:ascii="Tahoma" w:hAnsi="Tahoma"/>
      <w:sz w:val="24"/>
      <w:szCs w:val="24"/>
    </w:rPr>
  </w:style>
  <w:style w:type="paragraph" w:customStyle="1" w:styleId="178">
    <w:name w:val="Title - Date"/>
    <w:basedOn w:val="54"/>
    <w:next w:val="1"/>
    <w:qFormat/>
    <w:uiPriority w:val="0"/>
    <w:pPr>
      <w:spacing w:before="240" w:after="720"/>
    </w:pPr>
    <w:rPr>
      <w:sz w:val="28"/>
    </w:rPr>
  </w:style>
  <w:style w:type="paragraph" w:customStyle="1" w:styleId="179">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0">
    <w:name w:val="文章正文"/>
    <w:basedOn w:val="1"/>
    <w:qFormat/>
    <w:uiPriority w:val="0"/>
    <w:pPr>
      <w:ind w:firstLine="560" w:firstLineChars="200"/>
    </w:pPr>
    <w:rPr>
      <w:rFonts w:ascii="仿宋_GB2312" w:hAnsi="宋体" w:eastAsia="仿宋_GB2312"/>
      <w:color w:val="000000"/>
    </w:rPr>
  </w:style>
  <w:style w:type="paragraph" w:customStyle="1" w:styleId="181">
    <w:name w:val="Char Char Char"/>
    <w:basedOn w:val="1"/>
    <w:qFormat/>
    <w:uiPriority w:val="0"/>
    <w:rPr>
      <w:rFonts w:ascii="Tahoma" w:hAnsi="Tahoma"/>
      <w:sz w:val="24"/>
    </w:rPr>
  </w:style>
  <w:style w:type="paragraph" w:customStyle="1" w:styleId="182">
    <w:name w:val="样式4"/>
    <w:basedOn w:val="5"/>
    <w:qFormat/>
    <w:uiPriority w:val="0"/>
    <w:pPr>
      <w:numPr>
        <w:numId w:val="0"/>
      </w:numPr>
      <w:adjustRightInd w:val="0"/>
      <w:snapToGrid w:val="0"/>
      <w:spacing w:before="280" w:line="372" w:lineRule="auto"/>
    </w:pPr>
  </w:style>
  <w:style w:type="paragraph" w:customStyle="1" w:styleId="18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5">
    <w:name w:val="正文（首行不缩进）"/>
    <w:basedOn w:val="1"/>
    <w:qFormat/>
    <w:uiPriority w:val="0"/>
    <w:pPr>
      <w:autoSpaceDE w:val="0"/>
      <w:autoSpaceDN w:val="0"/>
      <w:adjustRightInd w:val="0"/>
      <w:spacing w:line="360" w:lineRule="auto"/>
      <w:jc w:val="left"/>
    </w:pPr>
    <w:rPr>
      <w:kern w:val="0"/>
      <w:sz w:val="21"/>
    </w:rPr>
  </w:style>
  <w:style w:type="paragraph" w:customStyle="1" w:styleId="186">
    <w:name w:val="Item Step in Table"/>
    <w:qFormat/>
    <w:uiPriority w:val="0"/>
    <w:pPr>
      <w:numPr>
        <w:ilvl w:val="0"/>
        <w:numId w:val="15"/>
      </w:numPr>
      <w:spacing w:before="40" w:after="40"/>
      <w:jc w:val="both"/>
    </w:pPr>
    <w:rPr>
      <w:rFonts w:ascii="Arial" w:hAnsi="Arial" w:eastAsia="宋体" w:cs="Times New Roman"/>
      <w:sz w:val="18"/>
      <w:lang w:val="en-US" w:eastAsia="zh-CN" w:bidi="ar-SA"/>
    </w:rPr>
  </w:style>
  <w:style w:type="paragraph" w:customStyle="1" w:styleId="187">
    <w:name w:val="_Style 186"/>
    <w:qFormat/>
    <w:uiPriority w:val="0"/>
    <w:rPr>
      <w:rFonts w:ascii="Times New Roman" w:hAnsi="Times New Roman" w:eastAsia="宋体" w:cs="Times New Roman"/>
      <w:kern w:val="2"/>
      <w:sz w:val="21"/>
      <w:lang w:val="en-US" w:eastAsia="zh-CN" w:bidi="ar-SA"/>
    </w:rPr>
  </w:style>
  <w:style w:type="paragraph" w:customStyle="1" w:styleId="18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9">
    <w:name w:val="Char Char Char Char Char"/>
    <w:basedOn w:val="1"/>
    <w:qFormat/>
    <w:uiPriority w:val="0"/>
    <w:pPr>
      <w:numPr>
        <w:ilvl w:val="0"/>
        <w:numId w:val="10"/>
      </w:numPr>
    </w:pPr>
    <w:rPr>
      <w:rFonts w:ascii="Tahoma" w:hAnsi="Tahoma"/>
      <w:sz w:val="24"/>
    </w:rPr>
  </w:style>
  <w:style w:type="paragraph" w:customStyle="1" w:styleId="19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1">
    <w:name w:val="表格内文字"/>
    <w:basedOn w:val="31"/>
    <w:qFormat/>
    <w:uiPriority w:val="0"/>
    <w:pPr>
      <w:snapToGrid/>
      <w:spacing w:line="240" w:lineRule="auto"/>
    </w:pPr>
    <w:rPr>
      <w:color w:val="000000"/>
      <w:lang w:val="en-GB"/>
    </w:rPr>
  </w:style>
  <w:style w:type="paragraph" w:customStyle="1" w:styleId="192">
    <w:name w:val="正文1"/>
    <w:basedOn w:val="1"/>
    <w:qFormat/>
    <w:uiPriority w:val="0"/>
    <w:pPr>
      <w:spacing w:line="300" w:lineRule="auto"/>
      <w:ind w:firstLine="200" w:firstLineChars="200"/>
    </w:pPr>
    <w:rPr>
      <w:sz w:val="24"/>
    </w:rPr>
  </w:style>
  <w:style w:type="paragraph" w:customStyle="1" w:styleId="19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95">
    <w:name w:val="表文字"/>
    <w:qFormat/>
    <w:uiPriority w:val="0"/>
    <w:rPr>
      <w:rFonts w:ascii="宋体" w:hAnsi="Times New Roman" w:eastAsia="宋体" w:cs="Times New Roman"/>
      <w:kern w:val="2"/>
      <w:lang w:val="en-US" w:eastAsia="zh-CN" w:bidi="ar-SA"/>
    </w:rPr>
  </w:style>
  <w:style w:type="paragraph" w:customStyle="1" w:styleId="196">
    <w:name w:val="可研正文"/>
    <w:basedOn w:val="22"/>
    <w:qFormat/>
    <w:uiPriority w:val="0"/>
    <w:pPr>
      <w:adjustRightInd w:val="0"/>
      <w:snapToGrid w:val="0"/>
      <w:spacing w:line="440" w:lineRule="exact"/>
      <w:ind w:firstLine="567"/>
    </w:pPr>
    <w:rPr>
      <w:sz w:val="28"/>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正文 + 三号"/>
    <w:basedOn w:val="1"/>
    <w:qFormat/>
    <w:uiPriority w:val="0"/>
    <w:rPr>
      <w:sz w:val="21"/>
    </w:rPr>
  </w:style>
  <w:style w:type="paragraph" w:customStyle="1" w:styleId="199">
    <w:name w:val="表头文本"/>
    <w:qFormat/>
    <w:uiPriority w:val="0"/>
    <w:pPr>
      <w:jc w:val="center"/>
    </w:pPr>
    <w:rPr>
      <w:rFonts w:ascii="Arial" w:hAnsi="Arial" w:eastAsia="宋体" w:cs="Times New Roman"/>
      <w:b/>
      <w:sz w:val="21"/>
      <w:lang w:val="en-US" w:eastAsia="zh-CN" w:bidi="ar-SA"/>
    </w:rPr>
  </w:style>
  <w:style w:type="paragraph" w:customStyle="1" w:styleId="20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Table Contents"/>
    <w:basedOn w:val="22"/>
    <w:qFormat/>
    <w:uiPriority w:val="0"/>
    <w:pPr>
      <w:suppressAutoHyphens/>
      <w:jc w:val="left"/>
    </w:pPr>
    <w:rPr>
      <w:rFonts w:ascii="Times New Roman" w:eastAsia="Times New Roman"/>
      <w:kern w:val="0"/>
      <w:sz w:val="24"/>
    </w:rPr>
  </w:style>
  <w:style w:type="paragraph" w:customStyle="1" w:styleId="202">
    <w:name w:val="Char Char 字元 字元 字元 Char Char Char Char"/>
    <w:basedOn w:val="1"/>
    <w:qFormat/>
    <w:uiPriority w:val="0"/>
    <w:pPr>
      <w:adjustRightInd w:val="0"/>
      <w:spacing w:line="360" w:lineRule="auto"/>
    </w:pPr>
    <w:rPr>
      <w:kern w:val="0"/>
      <w:sz w:val="24"/>
    </w:rPr>
  </w:style>
  <w:style w:type="paragraph" w:customStyle="1" w:styleId="203">
    <w:name w:val="Char Char Char Char Char Char Char1"/>
    <w:basedOn w:val="17"/>
    <w:qFormat/>
    <w:uiPriority w:val="0"/>
    <w:rPr>
      <w:rFonts w:ascii="宋体" w:hAnsi="Tahoma"/>
    </w:rPr>
  </w:style>
  <w:style w:type="paragraph" w:customStyle="1" w:styleId="20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5">
    <w:name w:val="附录3"/>
    <w:basedOn w:val="1"/>
    <w:next w:val="1"/>
    <w:qFormat/>
    <w:uiPriority w:val="0"/>
    <w:pPr>
      <w:tabs>
        <w:tab w:val="left" w:pos="851"/>
      </w:tabs>
      <w:ind w:left="425" w:hanging="425"/>
      <w:outlineLvl w:val="2"/>
    </w:pPr>
    <w:rPr>
      <w:rFonts w:eastAsia="黑体"/>
      <w:b/>
      <w:sz w:val="32"/>
    </w:rPr>
  </w:style>
  <w:style w:type="paragraph" w:customStyle="1" w:styleId="206">
    <w:name w:val="表头样式"/>
    <w:basedOn w:val="1"/>
    <w:qFormat/>
    <w:uiPriority w:val="0"/>
    <w:pPr>
      <w:autoSpaceDE w:val="0"/>
      <w:autoSpaceDN w:val="0"/>
      <w:adjustRightInd w:val="0"/>
      <w:spacing w:line="360" w:lineRule="auto"/>
      <w:jc w:val="left"/>
    </w:pPr>
    <w:rPr>
      <w:b/>
      <w:kern w:val="0"/>
      <w:sz w:val="21"/>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样式 正文缩进正文（首行缩进两字）表正文正文非缩进特点标题4段1 + 首行缩进:  2 字符"/>
    <w:basedOn w:val="15"/>
    <w:uiPriority w:val="0"/>
    <w:pPr>
      <w:ind w:firstLine="480" w:firstLineChars="200"/>
    </w:pPr>
  </w:style>
  <w:style w:type="paragraph" w:customStyle="1" w:styleId="210">
    <w:name w:val="Note"/>
    <w:basedOn w:val="1"/>
    <w:uiPriority w:val="0"/>
    <w:pPr>
      <w:pBdr>
        <w:top w:val="single" w:color="auto" w:sz="12" w:space="3"/>
        <w:bottom w:val="single" w:color="auto" w:sz="12" w:space="3"/>
      </w:pBdr>
      <w:spacing w:line="360" w:lineRule="auto"/>
    </w:pPr>
    <w:rPr>
      <w:sz w:val="24"/>
    </w:rPr>
  </w:style>
  <w:style w:type="paragraph" w:customStyle="1" w:styleId="211">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2">
    <w:name w:val="首行缩进"/>
    <w:basedOn w:val="1"/>
    <w:uiPriority w:val="0"/>
    <w:pPr>
      <w:spacing w:line="360" w:lineRule="auto"/>
      <w:ind w:firstLine="420" w:firstLineChars="200"/>
    </w:pPr>
    <w:rPr>
      <w:sz w:val="21"/>
    </w:rPr>
  </w:style>
  <w:style w:type="paragraph" w:customStyle="1" w:styleId="213">
    <w:name w:val="正文文本缩进 21"/>
    <w:basedOn w:val="1"/>
    <w:uiPriority w:val="0"/>
    <w:pPr>
      <w:adjustRightInd w:val="0"/>
      <w:spacing w:before="120"/>
      <w:ind w:firstLine="420"/>
      <w:textAlignment w:val="baseline"/>
    </w:pPr>
    <w:rPr>
      <w:sz w:val="24"/>
    </w:rPr>
  </w:style>
  <w:style w:type="paragraph" w:customStyle="1" w:styleId="214">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215">
    <w:name w:val="home"/>
    <w:basedOn w:val="1"/>
    <w:uiPriority w:val="0"/>
    <w:pPr>
      <w:widowControl/>
      <w:spacing w:before="100" w:beforeAutospacing="1" w:after="100" w:afterAutospacing="1"/>
      <w:jc w:val="left"/>
    </w:pPr>
    <w:rPr>
      <w:rFonts w:ascii="宋体" w:hAnsi="宋体" w:cs="宋体"/>
      <w:kern w:val="0"/>
      <w:sz w:val="24"/>
      <w:szCs w:val="24"/>
    </w:rPr>
  </w:style>
  <w:style w:type="paragraph" w:styleId="216">
    <w:name w:val="List Paragraph"/>
    <w:basedOn w:val="1"/>
    <w:link w:val="217"/>
    <w:qFormat/>
    <w:uiPriority w:val="34"/>
    <w:pPr>
      <w:spacing w:line="360" w:lineRule="auto"/>
      <w:ind w:firstLine="420" w:firstLineChars="200"/>
    </w:pPr>
    <w:rPr>
      <w:rFonts w:ascii="Arial" w:hAnsi="Arial"/>
      <w:sz w:val="24"/>
    </w:rPr>
  </w:style>
  <w:style w:type="character" w:customStyle="1" w:styleId="217">
    <w:name w:val="列表段落 字符"/>
    <w:link w:val="216"/>
    <w:qFormat/>
    <w:uiPriority w:val="34"/>
    <w:rPr>
      <w:rFonts w:ascii="Arial" w:hAnsi="Arial"/>
      <w:kern w:val="2"/>
      <w:sz w:val="24"/>
    </w:rPr>
  </w:style>
  <w:style w:type="character" w:customStyle="1" w:styleId="218">
    <w:name w:val="样式 正文缩进 + 首行缩进:  2 字符 Char"/>
    <w:link w:val="219"/>
    <w:qFormat/>
    <w:uiPriority w:val="0"/>
    <w:rPr>
      <w:rFonts w:cs="宋体"/>
      <w:kern w:val="2"/>
      <w:sz w:val="24"/>
    </w:rPr>
  </w:style>
  <w:style w:type="paragraph" w:customStyle="1" w:styleId="219">
    <w:name w:val="样式 正文缩进 + 首行缩进:  2 字符"/>
    <w:basedOn w:val="15"/>
    <w:link w:val="218"/>
    <w:qFormat/>
    <w:uiPriority w:val="0"/>
    <w:pPr>
      <w:adjustRightInd/>
      <w:snapToGrid/>
      <w:ind w:firstLine="200" w:firstLineChars="200"/>
    </w:pPr>
  </w:style>
  <w:style w:type="character" w:customStyle="1" w:styleId="220">
    <w:name w:val="方案正文 Char"/>
    <w:link w:val="221"/>
    <w:qFormat/>
    <w:locked/>
    <w:uiPriority w:val="0"/>
    <w:rPr>
      <w:rFonts w:ascii="华文细黑" w:hAnsi="华文细黑" w:eastAsia="华文细黑"/>
      <w:sz w:val="24"/>
      <w:szCs w:val="24"/>
    </w:rPr>
  </w:style>
  <w:style w:type="paragraph" w:customStyle="1" w:styleId="221">
    <w:name w:val="方案正文"/>
    <w:basedOn w:val="1"/>
    <w:link w:val="220"/>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222">
    <w:name w:val="列表段落2"/>
    <w:basedOn w:val="1"/>
    <w:qFormat/>
    <w:uiPriority w:val="99"/>
    <w:pPr>
      <w:ind w:firstLine="420" w:firstLineChars="200"/>
    </w:pPr>
    <w:rPr>
      <w:sz w:val="21"/>
    </w:rPr>
  </w:style>
  <w:style w:type="paragraph" w:customStyle="1" w:styleId="223">
    <w:name w:val="列表段落1"/>
    <w:basedOn w:val="1"/>
    <w:qFormat/>
    <w:uiPriority w:val="0"/>
    <w:pPr>
      <w:spacing w:line="360" w:lineRule="auto"/>
      <w:ind w:firstLine="420" w:firstLineChars="200"/>
    </w:pPr>
    <w:rPr>
      <w:rFonts w:hint="eastAsia"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3269</Words>
  <Characters>18634</Characters>
  <Lines>155</Lines>
  <Paragraphs>43</Paragraphs>
  <TotalTime>2</TotalTime>
  <ScaleCrop>false</ScaleCrop>
  <LinksUpToDate>false</LinksUpToDate>
  <CharactersWithSpaces>21860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2021-06-01T09:31:00Z</dcterms:created>
  <dc:creator>admin</dc:creator>
  <cp:lastModifiedBy>牧羊人</cp:lastModifiedBy>
  <cp:lastPrinted>2021-06-17T02:56:00Z</cp:lastPrinted>
  <dcterms:modified xsi:type="dcterms:W3CDTF">2022-02-25T03:38:14Z</dcterms:modified>
  <dc:title>货物</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A6072225636A4735A3776D31A2E59227</vt:lpwstr>
  </property>
</Properties>
</file>