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rPr>
      </w:pPr>
      <w:r>
        <w:rPr>
          <w:rFonts w:hint="eastAsia" w:ascii="宋体" w:hAnsi="宋体"/>
        </w:rPr>
        <w:t xml:space="preserve"> </w:t>
      </w:r>
    </w:p>
    <w:p>
      <w:pPr>
        <w:spacing w:line="276" w:lineRule="auto"/>
        <w:jc w:val="center"/>
        <w:rPr>
          <w:rFonts w:hint="eastAsia" w:ascii="宋体" w:hAnsi="宋体"/>
          <w:b/>
          <w:sz w:val="72"/>
          <w:szCs w:val="44"/>
        </w:rPr>
      </w:pPr>
      <w:r>
        <w:rPr>
          <w:rFonts w:hint="eastAsia" w:ascii="宋体" w:hAnsi="宋体"/>
          <w:b/>
          <w:sz w:val="72"/>
          <w:szCs w:val="44"/>
        </w:rPr>
        <w:t>竞争性磋商文件</w:t>
      </w:r>
    </w:p>
    <w:p>
      <w:pPr>
        <w:pStyle w:val="24"/>
        <w:spacing w:line="276" w:lineRule="auto"/>
        <w:ind w:left="0"/>
        <w:jc w:val="center"/>
        <w:rPr>
          <w:rFonts w:hint="eastAsia" w:ascii="宋体" w:hAnsi="宋体"/>
          <w:b/>
          <w:sz w:val="32"/>
        </w:rPr>
      </w:pPr>
    </w:p>
    <w:p>
      <w:pPr>
        <w:pStyle w:val="24"/>
        <w:spacing w:line="276" w:lineRule="auto"/>
        <w:ind w:left="0"/>
        <w:jc w:val="center"/>
        <w:rPr>
          <w:rFonts w:hint="eastAsia" w:ascii="宋体" w:hAnsi="宋体"/>
          <w:b/>
          <w:sz w:val="32"/>
        </w:rPr>
      </w:pPr>
    </w:p>
    <w:p>
      <w:pPr>
        <w:pStyle w:val="24"/>
        <w:spacing w:line="276" w:lineRule="auto"/>
        <w:ind w:left="0"/>
        <w:jc w:val="center"/>
        <w:rPr>
          <w:rFonts w:hint="eastAsia" w:ascii="宋体" w:hAnsi="宋体"/>
          <w:b/>
          <w:sz w:val="32"/>
        </w:rPr>
      </w:pPr>
    </w:p>
    <w:p>
      <w:pPr>
        <w:pStyle w:val="24"/>
        <w:spacing w:line="276" w:lineRule="auto"/>
        <w:ind w:left="0"/>
        <w:jc w:val="center"/>
        <w:rPr>
          <w:rFonts w:hint="eastAsia" w:ascii="宋体" w:hAnsi="宋体"/>
          <w:b/>
          <w:sz w:val="32"/>
        </w:rPr>
      </w:pPr>
    </w:p>
    <w:p>
      <w:pPr>
        <w:spacing w:line="276" w:lineRule="auto"/>
        <w:ind w:left="1417" w:leftChars="506"/>
        <w:jc w:val="left"/>
        <w:rPr>
          <w:rFonts w:hint="eastAsia" w:ascii="宋体" w:hAnsi="宋体"/>
          <w:b/>
          <w:sz w:val="36"/>
          <w:szCs w:val="22"/>
        </w:rPr>
      </w:pPr>
      <w:r>
        <w:rPr>
          <w:rFonts w:hint="eastAsia" w:ascii="宋体" w:hAnsi="宋体"/>
          <w:b/>
          <w:sz w:val="36"/>
          <w:szCs w:val="22"/>
        </w:rPr>
        <w:t>项目编号：2021JYXX-40</w:t>
      </w:r>
    </w:p>
    <w:p>
      <w:pPr>
        <w:spacing w:line="276" w:lineRule="auto"/>
        <w:ind w:left="1417" w:leftChars="506"/>
        <w:jc w:val="left"/>
        <w:rPr>
          <w:rFonts w:hint="eastAsia" w:ascii="宋体" w:hAnsi="宋体"/>
          <w:b/>
          <w:sz w:val="36"/>
          <w:szCs w:val="22"/>
        </w:rPr>
      </w:pPr>
      <w:r>
        <w:rPr>
          <w:rFonts w:hint="eastAsia" w:ascii="宋体" w:hAnsi="宋体"/>
          <w:b/>
          <w:sz w:val="36"/>
          <w:szCs w:val="22"/>
        </w:rPr>
        <w:t>项目名称：互联网+慢性肾</w:t>
      </w:r>
      <w:r>
        <w:rPr>
          <w:rFonts w:hint="eastAsia" w:ascii="宋体" w:hAnsi="宋体"/>
          <w:b/>
          <w:sz w:val="36"/>
          <w:szCs w:val="22"/>
          <w:lang w:val="en-US" w:eastAsia="zh-CN"/>
        </w:rPr>
        <w:t>脏</w:t>
      </w:r>
      <w:r>
        <w:rPr>
          <w:rFonts w:hint="eastAsia" w:ascii="宋体" w:hAnsi="宋体"/>
          <w:b/>
          <w:sz w:val="36"/>
          <w:szCs w:val="22"/>
        </w:rPr>
        <w:t>病管理系统</w:t>
      </w:r>
    </w:p>
    <w:p>
      <w:pPr>
        <w:spacing w:line="276" w:lineRule="auto"/>
        <w:jc w:val="center"/>
        <w:rPr>
          <w:rFonts w:hint="eastAsia" w:ascii="宋体" w:hAnsi="宋体"/>
        </w:rPr>
      </w:pPr>
    </w:p>
    <w:p>
      <w:pPr>
        <w:spacing w:line="276" w:lineRule="auto"/>
        <w:jc w:val="center"/>
        <w:rPr>
          <w:rFonts w:hint="eastAsia" w:ascii="宋体" w:hAnsi="宋体"/>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276" w:lineRule="auto"/>
        <w:jc w:val="center"/>
        <w:rPr>
          <w:rFonts w:hint="eastAsia" w:ascii="宋体" w:hAnsi="宋体"/>
        </w:rPr>
      </w:pPr>
    </w:p>
    <w:p>
      <w:pPr>
        <w:spacing w:line="276" w:lineRule="auto"/>
        <w:jc w:val="center"/>
        <w:rPr>
          <w:rFonts w:hint="eastAsia" w:ascii="宋体" w:hAnsi="宋体"/>
        </w:rPr>
      </w:pPr>
    </w:p>
    <w:p>
      <w:pPr>
        <w:spacing w:line="276" w:lineRule="auto"/>
        <w:jc w:val="center"/>
        <w:rPr>
          <w:rFonts w:hint="eastAsia" w:ascii="宋体" w:hAnsi="宋体"/>
        </w:rPr>
      </w:pPr>
    </w:p>
    <w:p>
      <w:pPr>
        <w:spacing w:line="276" w:lineRule="auto"/>
        <w:ind w:firstLine="2260" w:firstLineChars="628"/>
        <w:jc w:val="left"/>
        <w:rPr>
          <w:rFonts w:hint="eastAsia" w:ascii="宋体" w:hAnsi="宋体"/>
          <w:sz w:val="36"/>
        </w:rPr>
      </w:pPr>
    </w:p>
    <w:p>
      <w:pPr>
        <w:spacing w:line="276" w:lineRule="auto"/>
        <w:ind w:firstLine="2260" w:firstLineChars="628"/>
        <w:jc w:val="left"/>
        <w:rPr>
          <w:rFonts w:hint="eastAsia" w:ascii="宋体" w:hAnsi="宋体"/>
          <w:sz w:val="36"/>
        </w:rPr>
      </w:pPr>
    </w:p>
    <w:p>
      <w:pPr>
        <w:spacing w:line="276" w:lineRule="auto"/>
        <w:ind w:firstLine="2260" w:firstLineChars="628"/>
        <w:jc w:val="left"/>
        <w:rPr>
          <w:rFonts w:hint="eastAsia" w:ascii="宋体" w:hAnsi="宋体"/>
          <w:sz w:val="36"/>
        </w:rPr>
      </w:pPr>
    </w:p>
    <w:p>
      <w:pPr>
        <w:spacing w:line="276" w:lineRule="auto"/>
        <w:ind w:firstLine="2260" w:firstLineChars="628"/>
        <w:jc w:val="left"/>
        <w:rPr>
          <w:rFonts w:hint="eastAsia" w:ascii="宋体" w:hAnsi="宋体"/>
          <w:sz w:val="36"/>
        </w:rPr>
      </w:pPr>
    </w:p>
    <w:p>
      <w:pPr>
        <w:spacing w:line="276" w:lineRule="auto"/>
        <w:ind w:firstLine="2260" w:firstLineChars="628"/>
        <w:jc w:val="left"/>
        <w:rPr>
          <w:rFonts w:hint="eastAsia" w:ascii="宋体" w:hAnsi="宋体"/>
          <w:sz w:val="36"/>
        </w:rPr>
      </w:pPr>
    </w:p>
    <w:p>
      <w:pPr>
        <w:spacing w:line="276" w:lineRule="auto"/>
        <w:ind w:firstLine="2260" w:firstLineChars="628"/>
        <w:jc w:val="left"/>
        <w:rPr>
          <w:rFonts w:hint="eastAsia" w:ascii="宋体" w:hAnsi="宋体"/>
          <w:sz w:val="36"/>
        </w:rPr>
      </w:pPr>
    </w:p>
    <w:p>
      <w:pPr>
        <w:spacing w:line="276" w:lineRule="auto"/>
        <w:ind w:firstLine="2260" w:firstLineChars="628"/>
        <w:jc w:val="left"/>
        <w:rPr>
          <w:rFonts w:hint="eastAsia" w:ascii="宋体" w:hAnsi="宋体"/>
          <w:sz w:val="36"/>
        </w:rPr>
      </w:pPr>
      <w:r>
        <w:rPr>
          <w:rFonts w:hint="eastAsia" w:ascii="宋体" w:hAnsi="宋体"/>
          <w:sz w:val="36"/>
        </w:rPr>
        <w:t>采购人：重庆市第九人民医院</w:t>
      </w:r>
    </w:p>
    <w:p>
      <w:pPr>
        <w:spacing w:line="276" w:lineRule="auto"/>
        <w:jc w:val="center"/>
        <w:rPr>
          <w:rFonts w:hint="eastAsia" w:ascii="宋体" w:hAnsi="宋体"/>
          <w:sz w:val="40"/>
          <w:szCs w:val="18"/>
        </w:rPr>
      </w:pPr>
      <w:r>
        <w:rPr>
          <w:rFonts w:hint="eastAsia" w:ascii="宋体" w:hAnsi="宋体"/>
          <w:sz w:val="40"/>
          <w:szCs w:val="18"/>
        </w:rPr>
        <w:t>二〇二一</w:t>
      </w:r>
      <w:r>
        <w:rPr>
          <w:rFonts w:hint="eastAsia" w:ascii="宋体" w:hAnsi="宋体"/>
          <w:sz w:val="40"/>
          <w:szCs w:val="18"/>
          <w:lang w:eastAsia="zh-CN"/>
        </w:rPr>
        <w:t>年十</w:t>
      </w:r>
      <w:r>
        <w:rPr>
          <w:rFonts w:hint="eastAsia" w:ascii="宋体" w:hAnsi="宋体"/>
          <w:sz w:val="40"/>
          <w:szCs w:val="18"/>
        </w:rPr>
        <w:t>月</w:t>
      </w:r>
    </w:p>
    <w:p>
      <w:pPr>
        <w:snapToGrid w:val="0"/>
        <w:spacing w:line="276" w:lineRule="auto"/>
        <w:rPr>
          <w:rFonts w:hint="eastAsia" w:ascii="宋体" w:hAnsi="宋体"/>
          <w:sz w:val="44"/>
        </w:rPr>
        <w:sectPr>
          <w:headerReference r:id="rId5"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pPr>
        <w:snapToGrid w:val="0"/>
        <w:spacing w:line="276" w:lineRule="auto"/>
        <w:jc w:val="center"/>
        <w:rPr>
          <w:rFonts w:hint="eastAsia" w:ascii="宋体" w:hAnsi="宋体"/>
          <w:sz w:val="44"/>
        </w:rPr>
      </w:pPr>
      <w:r>
        <w:rPr>
          <w:rFonts w:hint="eastAsia" w:ascii="宋体" w:hAnsi="宋体"/>
          <w:sz w:val="44"/>
        </w:rPr>
        <w:t>目  录</w:t>
      </w:r>
    </w:p>
    <w:p>
      <w:pPr>
        <w:pStyle w:val="38"/>
        <w:tabs>
          <w:tab w:val="right" w:leader="dot" w:pos="9412"/>
          <w:tab w:val="clear" w:pos="1260"/>
          <w:tab w:val="clear" w:pos="1685"/>
          <w:tab w:val="clear" w:pos="8400"/>
        </w:tabs>
      </w:pPr>
      <w:r>
        <w:rPr>
          <w:rFonts w:hint="eastAsia" w:ascii="宋体" w:hAnsi="宋体"/>
          <w:sz w:val="21"/>
          <w:szCs w:val="21"/>
        </w:rPr>
        <w:fldChar w:fldCharType="begin"/>
      </w:r>
      <w:r>
        <w:rPr>
          <w:rFonts w:hint="eastAsia" w:ascii="宋体" w:hAnsi="宋体"/>
          <w:sz w:val="21"/>
          <w:szCs w:val="21"/>
        </w:rPr>
        <w:instrText xml:space="preserve"> TOC \o "1-2" \h \z </w:instrText>
      </w:r>
      <w:r>
        <w:rPr>
          <w:rFonts w:hint="eastAsia" w:ascii="宋体" w:hAnsi="宋体"/>
          <w:sz w:val="21"/>
          <w:szCs w:val="21"/>
        </w:rPr>
        <w:fldChar w:fldCharType="separate"/>
      </w:r>
      <w:r>
        <w:rPr>
          <w:rFonts w:hint="eastAsia" w:ascii="宋体" w:hAnsi="宋体"/>
          <w:szCs w:val="21"/>
        </w:rPr>
        <w:fldChar w:fldCharType="begin"/>
      </w:r>
      <w:r>
        <w:rPr>
          <w:rFonts w:hint="eastAsia" w:ascii="宋体" w:hAnsi="宋体"/>
          <w:szCs w:val="21"/>
        </w:rPr>
        <w:instrText xml:space="preserve"> HYPERLINK \l _Toc31153 </w:instrText>
      </w:r>
      <w:r>
        <w:rPr>
          <w:rFonts w:hint="eastAsia" w:ascii="宋体" w:hAnsi="宋体"/>
          <w:szCs w:val="21"/>
        </w:rPr>
        <w:fldChar w:fldCharType="separate"/>
      </w:r>
      <w:r>
        <w:rPr>
          <w:rFonts w:hint="default" w:ascii="宋体" w:hAnsi="宋体" w:eastAsia="宋体"/>
        </w:rPr>
        <w:t xml:space="preserve">第一篇 </w:t>
      </w:r>
      <w:r>
        <w:rPr>
          <w:rFonts w:hint="eastAsia" w:ascii="宋体" w:hAnsi="宋体" w:eastAsia="宋体"/>
        </w:rPr>
        <w:t>竞争性磋商邀请书</w:t>
      </w:r>
      <w:r>
        <w:tab/>
      </w:r>
      <w:r>
        <w:fldChar w:fldCharType="begin"/>
      </w:r>
      <w:r>
        <w:instrText xml:space="preserve"> PAGEREF _Toc31153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_Toc28793 </w:instrText>
      </w:r>
      <w:r>
        <w:rPr>
          <w:rFonts w:hint="eastAsia" w:ascii="宋体" w:hAnsi="宋体"/>
          <w:szCs w:val="21"/>
        </w:rPr>
        <w:fldChar w:fldCharType="separate"/>
      </w:r>
      <w:r>
        <w:rPr>
          <w:rFonts w:hint="eastAsia"/>
        </w:rPr>
        <w:t>一、项目内容</w:t>
      </w:r>
      <w:r>
        <w:tab/>
      </w:r>
      <w:r>
        <w:fldChar w:fldCharType="begin"/>
      </w:r>
      <w:r>
        <w:instrText xml:space="preserve"> PAGEREF _Toc28793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_Toc17077 </w:instrText>
      </w:r>
      <w:r>
        <w:rPr>
          <w:rFonts w:hint="eastAsia" w:ascii="宋体" w:hAnsi="宋体"/>
          <w:szCs w:val="21"/>
        </w:rPr>
        <w:fldChar w:fldCharType="separate"/>
      </w:r>
      <w:r>
        <w:rPr>
          <w:rFonts w:hint="eastAsia"/>
        </w:rPr>
        <w:t>二、资金来源</w:t>
      </w:r>
      <w:r>
        <w:tab/>
      </w:r>
      <w:r>
        <w:fldChar w:fldCharType="begin"/>
      </w:r>
      <w:r>
        <w:instrText xml:space="preserve"> PAGEREF _Toc17077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_Toc23415 </w:instrText>
      </w:r>
      <w:r>
        <w:rPr>
          <w:rFonts w:hint="eastAsia" w:ascii="宋体" w:hAnsi="宋体"/>
          <w:szCs w:val="21"/>
        </w:rPr>
        <w:fldChar w:fldCharType="separate"/>
      </w:r>
      <w:r>
        <w:rPr>
          <w:rFonts w:hint="eastAsia"/>
        </w:rPr>
        <w:t>三、供应商资格要求</w:t>
      </w:r>
      <w:r>
        <w:tab/>
      </w:r>
      <w:r>
        <w:fldChar w:fldCharType="begin"/>
      </w:r>
      <w:r>
        <w:instrText xml:space="preserve"> PAGEREF _Toc23415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_Toc2365 </w:instrText>
      </w:r>
      <w:r>
        <w:rPr>
          <w:rFonts w:hint="eastAsia" w:ascii="宋体" w:hAnsi="宋体"/>
          <w:szCs w:val="21"/>
        </w:rPr>
        <w:fldChar w:fldCharType="separate"/>
      </w:r>
      <w:r>
        <w:rPr>
          <w:rFonts w:hint="eastAsia"/>
        </w:rPr>
        <w:t>四、磋商报名</w:t>
      </w:r>
      <w:r>
        <w:tab/>
      </w:r>
      <w:r>
        <w:fldChar w:fldCharType="begin"/>
      </w:r>
      <w:r>
        <w:instrText xml:space="preserve"> PAGEREF _Toc2365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_Toc25721 </w:instrText>
      </w:r>
      <w:r>
        <w:rPr>
          <w:rFonts w:hint="eastAsia" w:ascii="宋体" w:hAnsi="宋体"/>
          <w:szCs w:val="21"/>
        </w:rPr>
        <w:fldChar w:fldCharType="separate"/>
      </w:r>
      <w:r>
        <w:rPr>
          <w:rFonts w:hint="eastAsia"/>
        </w:rPr>
        <w:t>五、投标文件递交与磋商</w:t>
      </w:r>
      <w:r>
        <w:tab/>
      </w:r>
      <w:r>
        <w:fldChar w:fldCharType="begin"/>
      </w:r>
      <w:r>
        <w:instrText xml:space="preserve"> PAGEREF _Toc25721 \h </w:instrText>
      </w:r>
      <w:r>
        <w:fldChar w:fldCharType="separate"/>
      </w:r>
      <w:r>
        <w:t>- 2 -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_Toc32524 </w:instrText>
      </w:r>
      <w:r>
        <w:rPr>
          <w:rFonts w:hint="eastAsia" w:ascii="宋体" w:hAnsi="宋体"/>
          <w:szCs w:val="21"/>
        </w:rPr>
        <w:fldChar w:fldCharType="separate"/>
      </w:r>
      <w:r>
        <w:rPr>
          <w:rFonts w:hint="eastAsia"/>
        </w:rPr>
        <w:t>六、采购人联系方式</w:t>
      </w:r>
      <w:r>
        <w:tab/>
      </w:r>
      <w:r>
        <w:fldChar w:fldCharType="begin"/>
      </w:r>
      <w:r>
        <w:instrText xml:space="preserve"> PAGEREF _Toc32524 \h </w:instrText>
      </w:r>
      <w:r>
        <w:fldChar w:fldCharType="separate"/>
      </w:r>
      <w:r>
        <w:t>- 3 -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_Toc23726 </w:instrText>
      </w:r>
      <w:r>
        <w:rPr>
          <w:rFonts w:hint="eastAsia" w:ascii="宋体" w:hAnsi="宋体"/>
          <w:szCs w:val="21"/>
        </w:rPr>
        <w:fldChar w:fldCharType="separate"/>
      </w:r>
      <w:r>
        <w:rPr>
          <w:rFonts w:hint="eastAsia"/>
        </w:rPr>
        <w:t>七、磋商保证金</w:t>
      </w:r>
      <w:r>
        <w:tab/>
      </w:r>
      <w:r>
        <w:fldChar w:fldCharType="begin"/>
      </w:r>
      <w:r>
        <w:instrText xml:space="preserve"> PAGEREF _Toc23726 \h </w:instrText>
      </w:r>
      <w:r>
        <w:fldChar w:fldCharType="separate"/>
      </w:r>
      <w:r>
        <w:t>- 3 -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_Toc25892 </w:instrText>
      </w:r>
      <w:r>
        <w:rPr>
          <w:rFonts w:hint="eastAsia" w:ascii="宋体" w:hAnsi="宋体"/>
          <w:szCs w:val="21"/>
        </w:rPr>
        <w:fldChar w:fldCharType="separate"/>
      </w:r>
      <w:r>
        <w:rPr>
          <w:rFonts w:hint="eastAsia"/>
        </w:rPr>
        <w:t>八、采购项目需落实的政府采购政策</w:t>
      </w:r>
      <w:r>
        <w:tab/>
      </w:r>
      <w:r>
        <w:fldChar w:fldCharType="begin"/>
      </w:r>
      <w:r>
        <w:instrText xml:space="preserve"> PAGEREF _Toc25892 \h </w:instrText>
      </w:r>
      <w:r>
        <w:fldChar w:fldCharType="separate"/>
      </w:r>
      <w:r>
        <w:t>- 3 -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_Toc11100 </w:instrText>
      </w:r>
      <w:r>
        <w:rPr>
          <w:rFonts w:hint="eastAsia" w:ascii="宋体" w:hAnsi="宋体"/>
          <w:szCs w:val="21"/>
        </w:rPr>
        <w:fldChar w:fldCharType="separate"/>
      </w:r>
      <w:r>
        <w:rPr>
          <w:rFonts w:hint="eastAsia"/>
        </w:rPr>
        <w:t>九、磋商有关规定</w:t>
      </w:r>
      <w:r>
        <w:tab/>
      </w:r>
      <w:r>
        <w:fldChar w:fldCharType="begin"/>
      </w:r>
      <w:r>
        <w:instrText xml:space="preserve"> PAGEREF _Toc11100 \h </w:instrText>
      </w:r>
      <w:r>
        <w:fldChar w:fldCharType="separate"/>
      </w:r>
      <w:r>
        <w:t>- 3 -</w:t>
      </w:r>
      <w:r>
        <w:fldChar w:fldCharType="end"/>
      </w:r>
      <w:r>
        <w:rPr>
          <w:rFonts w:hint="eastAsia" w:ascii="宋体" w:hAnsi="宋体"/>
          <w:szCs w:val="21"/>
        </w:rPr>
        <w:fldChar w:fldCharType="end"/>
      </w:r>
    </w:p>
    <w:p>
      <w:pPr>
        <w:pStyle w:val="38"/>
        <w:tabs>
          <w:tab w:val="right" w:leader="dot" w:pos="9412"/>
          <w:tab w:val="clear" w:pos="1260"/>
          <w:tab w:val="clear" w:pos="1685"/>
          <w:tab w:val="clear" w:pos="8400"/>
        </w:tabs>
      </w:pPr>
      <w:r>
        <w:rPr>
          <w:rFonts w:hint="eastAsia" w:ascii="宋体" w:hAnsi="宋体"/>
          <w:szCs w:val="21"/>
        </w:rPr>
        <w:fldChar w:fldCharType="begin"/>
      </w:r>
      <w:r>
        <w:rPr>
          <w:rFonts w:hint="eastAsia" w:ascii="宋体" w:hAnsi="宋体"/>
          <w:szCs w:val="21"/>
        </w:rPr>
        <w:instrText xml:space="preserve"> HYPERLINK \l _Toc11996 </w:instrText>
      </w:r>
      <w:r>
        <w:rPr>
          <w:rFonts w:hint="eastAsia" w:ascii="宋体" w:hAnsi="宋体"/>
          <w:szCs w:val="21"/>
        </w:rPr>
        <w:fldChar w:fldCharType="separate"/>
      </w:r>
      <w:r>
        <w:rPr>
          <w:rFonts w:hint="eastAsia" w:ascii="宋体" w:hAnsi="宋体" w:eastAsia="宋体"/>
        </w:rPr>
        <w:t>第二篇 项目具体要求</w:t>
      </w:r>
      <w:r>
        <w:tab/>
      </w:r>
      <w:r>
        <w:fldChar w:fldCharType="begin"/>
      </w:r>
      <w:r>
        <w:instrText xml:space="preserve"> PAGEREF _Toc11996 \h </w:instrText>
      </w:r>
      <w:r>
        <w:fldChar w:fldCharType="separate"/>
      </w:r>
      <w:r>
        <w:t>- 5 -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_Toc791 </w:instrText>
      </w:r>
      <w:r>
        <w:rPr>
          <w:rFonts w:hint="eastAsia" w:ascii="宋体" w:hAnsi="宋体"/>
          <w:szCs w:val="21"/>
        </w:rPr>
        <w:fldChar w:fldCharType="separate"/>
      </w:r>
      <w:r>
        <w:rPr>
          <w:rFonts w:hint="eastAsia"/>
          <w:szCs w:val="22"/>
        </w:rPr>
        <w:t>第一部分 技术要求</w:t>
      </w:r>
      <w:r>
        <w:tab/>
      </w:r>
      <w:r>
        <w:fldChar w:fldCharType="begin"/>
      </w:r>
      <w:r>
        <w:instrText xml:space="preserve"> PAGEREF _Toc791 \h </w:instrText>
      </w:r>
      <w:r>
        <w:fldChar w:fldCharType="separate"/>
      </w:r>
      <w:r>
        <w:t>- 5 -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_Toc1697 </w:instrText>
      </w:r>
      <w:r>
        <w:rPr>
          <w:rFonts w:hint="eastAsia" w:ascii="宋体" w:hAnsi="宋体"/>
          <w:szCs w:val="21"/>
        </w:rPr>
        <w:fldChar w:fldCharType="separate"/>
      </w:r>
      <w:r>
        <w:rPr>
          <w:rFonts w:hint="eastAsia"/>
          <w:szCs w:val="22"/>
        </w:rPr>
        <w:t>第二部分 商务要求</w:t>
      </w:r>
      <w:r>
        <w:tab/>
      </w:r>
      <w:r>
        <w:fldChar w:fldCharType="begin"/>
      </w:r>
      <w:r>
        <w:instrText xml:space="preserve"> PAGEREF _Toc1697 \h </w:instrText>
      </w:r>
      <w:r>
        <w:fldChar w:fldCharType="separate"/>
      </w:r>
      <w:r>
        <w:t>- 12 -</w:t>
      </w:r>
      <w:r>
        <w:fldChar w:fldCharType="end"/>
      </w:r>
      <w:r>
        <w:rPr>
          <w:rFonts w:hint="eastAsia" w:ascii="宋体" w:hAnsi="宋体"/>
          <w:szCs w:val="21"/>
        </w:rPr>
        <w:fldChar w:fldCharType="end"/>
      </w:r>
    </w:p>
    <w:p>
      <w:pPr>
        <w:pStyle w:val="38"/>
        <w:tabs>
          <w:tab w:val="right" w:leader="dot" w:pos="9412"/>
          <w:tab w:val="clear" w:pos="1260"/>
          <w:tab w:val="clear" w:pos="1685"/>
          <w:tab w:val="clear" w:pos="8400"/>
        </w:tabs>
      </w:pPr>
      <w:r>
        <w:rPr>
          <w:rFonts w:hint="eastAsia" w:ascii="宋体" w:hAnsi="宋体"/>
          <w:szCs w:val="21"/>
        </w:rPr>
        <w:fldChar w:fldCharType="begin"/>
      </w:r>
      <w:r>
        <w:rPr>
          <w:rFonts w:hint="eastAsia" w:ascii="宋体" w:hAnsi="宋体"/>
          <w:szCs w:val="21"/>
        </w:rPr>
        <w:instrText xml:space="preserve"> HYPERLINK \l _Toc26115 </w:instrText>
      </w:r>
      <w:r>
        <w:rPr>
          <w:rFonts w:hint="eastAsia" w:ascii="宋体" w:hAnsi="宋体"/>
          <w:szCs w:val="21"/>
        </w:rPr>
        <w:fldChar w:fldCharType="separate"/>
      </w:r>
      <w:r>
        <w:rPr>
          <w:rFonts w:hint="eastAsia" w:ascii="宋体" w:hAnsi="宋体" w:eastAsia="宋体"/>
        </w:rPr>
        <w:t>第三篇  评审程序、评审方法和评审标准</w:t>
      </w:r>
      <w:r>
        <w:tab/>
      </w:r>
      <w:r>
        <w:fldChar w:fldCharType="begin"/>
      </w:r>
      <w:r>
        <w:instrText xml:space="preserve"> PAGEREF _Toc26115 \h </w:instrText>
      </w:r>
      <w:r>
        <w:fldChar w:fldCharType="separate"/>
      </w:r>
      <w:r>
        <w:t>- 14 -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_Toc2510 </w:instrText>
      </w:r>
      <w:r>
        <w:rPr>
          <w:rFonts w:hint="eastAsia" w:ascii="宋体" w:hAnsi="宋体"/>
          <w:szCs w:val="21"/>
        </w:rPr>
        <w:fldChar w:fldCharType="separate"/>
      </w:r>
      <w:r>
        <w:rPr>
          <w:rFonts w:hint="eastAsia"/>
          <w:szCs w:val="24"/>
        </w:rPr>
        <w:t>一、评审程序</w:t>
      </w:r>
      <w:r>
        <w:tab/>
      </w:r>
      <w:r>
        <w:fldChar w:fldCharType="begin"/>
      </w:r>
      <w:r>
        <w:instrText xml:space="preserve"> PAGEREF _Toc2510 \h </w:instrText>
      </w:r>
      <w:r>
        <w:fldChar w:fldCharType="separate"/>
      </w:r>
      <w:r>
        <w:t>- 14 -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_Toc6342 </w:instrText>
      </w:r>
      <w:r>
        <w:rPr>
          <w:rFonts w:hint="eastAsia" w:ascii="宋体" w:hAnsi="宋体"/>
          <w:szCs w:val="21"/>
        </w:rPr>
        <w:fldChar w:fldCharType="separate"/>
      </w:r>
      <w:r>
        <w:rPr>
          <w:rFonts w:hint="eastAsia"/>
          <w:szCs w:val="24"/>
        </w:rPr>
        <w:t>二、评审方法</w:t>
      </w:r>
      <w:r>
        <w:tab/>
      </w:r>
      <w:r>
        <w:fldChar w:fldCharType="begin"/>
      </w:r>
      <w:r>
        <w:instrText xml:space="preserve"> PAGEREF _Toc6342 \h </w:instrText>
      </w:r>
      <w:r>
        <w:fldChar w:fldCharType="separate"/>
      </w:r>
      <w:r>
        <w:t>- 15 -</w:t>
      </w:r>
      <w:r>
        <w:fldChar w:fldCharType="end"/>
      </w:r>
      <w:r>
        <w:rPr>
          <w:rFonts w:hint="eastAsia" w:ascii="宋体" w:hAnsi="宋体"/>
          <w:szCs w:val="21"/>
        </w:rPr>
        <w:fldChar w:fldCharType="end"/>
      </w:r>
    </w:p>
    <w:p>
      <w:pPr>
        <w:pStyle w:val="38"/>
        <w:tabs>
          <w:tab w:val="right" w:leader="dot" w:pos="9412"/>
          <w:tab w:val="clear" w:pos="1260"/>
          <w:tab w:val="clear" w:pos="1685"/>
          <w:tab w:val="clear" w:pos="8400"/>
        </w:tabs>
      </w:pPr>
      <w:r>
        <w:rPr>
          <w:rFonts w:hint="eastAsia" w:ascii="宋体" w:hAnsi="宋体"/>
          <w:szCs w:val="21"/>
        </w:rPr>
        <w:fldChar w:fldCharType="begin"/>
      </w:r>
      <w:r>
        <w:rPr>
          <w:rFonts w:hint="eastAsia" w:ascii="宋体" w:hAnsi="宋体"/>
          <w:szCs w:val="21"/>
        </w:rPr>
        <w:instrText xml:space="preserve"> HYPERLINK \l _Toc31812 </w:instrText>
      </w:r>
      <w:r>
        <w:rPr>
          <w:rFonts w:hint="eastAsia" w:ascii="宋体" w:hAnsi="宋体"/>
          <w:szCs w:val="21"/>
        </w:rPr>
        <w:fldChar w:fldCharType="separate"/>
      </w:r>
      <w:r>
        <w:rPr>
          <w:rFonts w:hint="eastAsia" w:ascii="宋体" w:hAnsi="宋体" w:eastAsia="宋体"/>
        </w:rPr>
        <w:t>第四篇  供应商须知</w:t>
      </w:r>
      <w:r>
        <w:tab/>
      </w:r>
      <w:r>
        <w:fldChar w:fldCharType="begin"/>
      </w:r>
      <w:r>
        <w:instrText xml:space="preserve"> PAGEREF _Toc31812 \h </w:instrText>
      </w:r>
      <w:r>
        <w:fldChar w:fldCharType="separate"/>
      </w:r>
      <w:r>
        <w:t>- 19 -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_Toc25164 </w:instrText>
      </w:r>
      <w:r>
        <w:rPr>
          <w:rFonts w:hint="eastAsia" w:ascii="宋体" w:hAnsi="宋体"/>
          <w:szCs w:val="21"/>
        </w:rPr>
        <w:fldChar w:fldCharType="separate"/>
      </w:r>
      <w:r>
        <w:rPr>
          <w:rFonts w:hint="eastAsia"/>
        </w:rPr>
        <w:t>一、供应商</w:t>
      </w:r>
      <w:r>
        <w:tab/>
      </w:r>
      <w:r>
        <w:fldChar w:fldCharType="begin"/>
      </w:r>
      <w:r>
        <w:instrText xml:space="preserve"> PAGEREF _Toc25164 \h </w:instrText>
      </w:r>
      <w:r>
        <w:fldChar w:fldCharType="separate"/>
      </w:r>
      <w:r>
        <w:t>- 19 -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_Toc31133 </w:instrText>
      </w:r>
      <w:r>
        <w:rPr>
          <w:rFonts w:hint="eastAsia" w:ascii="宋体" w:hAnsi="宋体"/>
          <w:szCs w:val="21"/>
        </w:rPr>
        <w:fldChar w:fldCharType="separate"/>
      </w:r>
      <w:r>
        <w:rPr>
          <w:rFonts w:hint="eastAsia"/>
        </w:rPr>
        <w:t>二、磋商文件</w:t>
      </w:r>
      <w:r>
        <w:tab/>
      </w:r>
      <w:r>
        <w:fldChar w:fldCharType="begin"/>
      </w:r>
      <w:r>
        <w:instrText xml:space="preserve"> PAGEREF _Toc31133 \h </w:instrText>
      </w:r>
      <w:r>
        <w:fldChar w:fldCharType="separate"/>
      </w:r>
      <w:r>
        <w:t>- 19 -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_Toc9884 </w:instrText>
      </w:r>
      <w:r>
        <w:rPr>
          <w:rFonts w:hint="eastAsia" w:ascii="宋体" w:hAnsi="宋体"/>
          <w:szCs w:val="21"/>
        </w:rPr>
        <w:fldChar w:fldCharType="separate"/>
      </w:r>
      <w:r>
        <w:rPr>
          <w:rFonts w:hint="eastAsia"/>
        </w:rPr>
        <w:t>三、响应文件</w:t>
      </w:r>
      <w:r>
        <w:tab/>
      </w:r>
      <w:r>
        <w:fldChar w:fldCharType="begin"/>
      </w:r>
      <w:r>
        <w:instrText xml:space="preserve"> PAGEREF _Toc9884 \h </w:instrText>
      </w:r>
      <w:r>
        <w:fldChar w:fldCharType="separate"/>
      </w:r>
      <w:r>
        <w:t>- 19 -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_Toc6458 </w:instrText>
      </w:r>
      <w:r>
        <w:rPr>
          <w:rFonts w:hint="eastAsia" w:ascii="宋体" w:hAnsi="宋体"/>
          <w:szCs w:val="21"/>
        </w:rPr>
        <w:fldChar w:fldCharType="separate"/>
      </w:r>
      <w:r>
        <w:rPr>
          <w:rFonts w:hint="eastAsia"/>
        </w:rPr>
        <w:t>四、竞争性磋商程序</w:t>
      </w:r>
      <w:r>
        <w:tab/>
      </w:r>
      <w:r>
        <w:fldChar w:fldCharType="begin"/>
      </w:r>
      <w:r>
        <w:instrText xml:space="preserve"> PAGEREF _Toc6458 \h </w:instrText>
      </w:r>
      <w:r>
        <w:fldChar w:fldCharType="separate"/>
      </w:r>
      <w:r>
        <w:t>- 20 -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_Toc7489 </w:instrText>
      </w:r>
      <w:r>
        <w:rPr>
          <w:rFonts w:hint="eastAsia" w:ascii="宋体" w:hAnsi="宋体"/>
          <w:szCs w:val="21"/>
        </w:rPr>
        <w:fldChar w:fldCharType="separate"/>
      </w:r>
      <w:r>
        <w:rPr>
          <w:rFonts w:hint="eastAsia"/>
        </w:rPr>
        <w:t>五、确定成交供应商</w:t>
      </w:r>
      <w:r>
        <w:tab/>
      </w:r>
      <w:r>
        <w:fldChar w:fldCharType="begin"/>
      </w:r>
      <w:r>
        <w:instrText xml:space="preserve"> PAGEREF _Toc7489 \h </w:instrText>
      </w:r>
      <w:r>
        <w:fldChar w:fldCharType="separate"/>
      </w:r>
      <w:r>
        <w:t>- 21 -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_Toc25464 </w:instrText>
      </w:r>
      <w:r>
        <w:rPr>
          <w:rFonts w:hint="eastAsia" w:ascii="宋体" w:hAnsi="宋体"/>
          <w:szCs w:val="21"/>
        </w:rPr>
        <w:fldChar w:fldCharType="separate"/>
      </w:r>
      <w:r>
        <w:rPr>
          <w:rFonts w:hint="eastAsia"/>
        </w:rPr>
        <w:t>六、成交通知书</w:t>
      </w:r>
      <w:r>
        <w:tab/>
      </w:r>
      <w:r>
        <w:fldChar w:fldCharType="begin"/>
      </w:r>
      <w:r>
        <w:instrText xml:space="preserve"> PAGEREF _Toc25464 \h </w:instrText>
      </w:r>
      <w:r>
        <w:fldChar w:fldCharType="separate"/>
      </w:r>
      <w:r>
        <w:t>- 22 -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_Toc10267 </w:instrText>
      </w:r>
      <w:r>
        <w:rPr>
          <w:rFonts w:hint="eastAsia" w:ascii="宋体" w:hAnsi="宋体"/>
          <w:szCs w:val="21"/>
        </w:rPr>
        <w:fldChar w:fldCharType="separate"/>
      </w:r>
      <w:r>
        <w:rPr>
          <w:rFonts w:hint="eastAsia"/>
        </w:rPr>
        <w:t>七、关于质疑和投诉</w:t>
      </w:r>
      <w:r>
        <w:tab/>
      </w:r>
      <w:r>
        <w:fldChar w:fldCharType="begin"/>
      </w:r>
      <w:r>
        <w:instrText xml:space="preserve"> PAGEREF _Toc10267 \h </w:instrText>
      </w:r>
      <w:r>
        <w:fldChar w:fldCharType="separate"/>
      </w:r>
      <w:r>
        <w:t>- 22 -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_Toc10702 </w:instrText>
      </w:r>
      <w:r>
        <w:rPr>
          <w:rFonts w:hint="eastAsia" w:ascii="宋体" w:hAnsi="宋体"/>
          <w:szCs w:val="21"/>
        </w:rPr>
        <w:fldChar w:fldCharType="separate"/>
      </w:r>
      <w:r>
        <w:rPr>
          <w:rFonts w:hint="eastAsia"/>
        </w:rPr>
        <w:t>八、签订合同</w:t>
      </w:r>
      <w:r>
        <w:tab/>
      </w:r>
      <w:r>
        <w:fldChar w:fldCharType="begin"/>
      </w:r>
      <w:r>
        <w:instrText xml:space="preserve"> PAGEREF _Toc10702 \h </w:instrText>
      </w:r>
      <w:r>
        <w:fldChar w:fldCharType="separate"/>
      </w:r>
      <w:r>
        <w:t>- 23 -</w:t>
      </w:r>
      <w:r>
        <w:fldChar w:fldCharType="end"/>
      </w:r>
      <w:r>
        <w:rPr>
          <w:rFonts w:hint="eastAsia" w:ascii="宋体" w:hAnsi="宋体"/>
          <w:szCs w:val="21"/>
        </w:rPr>
        <w:fldChar w:fldCharType="end"/>
      </w:r>
    </w:p>
    <w:p>
      <w:pPr>
        <w:pStyle w:val="38"/>
        <w:tabs>
          <w:tab w:val="right" w:leader="dot" w:pos="9412"/>
          <w:tab w:val="clear" w:pos="1260"/>
          <w:tab w:val="clear" w:pos="1685"/>
          <w:tab w:val="clear" w:pos="8400"/>
        </w:tabs>
      </w:pPr>
      <w:r>
        <w:rPr>
          <w:rFonts w:hint="eastAsia" w:ascii="宋体" w:hAnsi="宋体"/>
          <w:szCs w:val="21"/>
        </w:rPr>
        <w:fldChar w:fldCharType="begin"/>
      </w:r>
      <w:r>
        <w:rPr>
          <w:rFonts w:hint="eastAsia" w:ascii="宋体" w:hAnsi="宋体"/>
          <w:szCs w:val="21"/>
        </w:rPr>
        <w:instrText xml:space="preserve"> HYPERLINK \l _Toc13712 </w:instrText>
      </w:r>
      <w:r>
        <w:rPr>
          <w:rFonts w:hint="eastAsia" w:ascii="宋体" w:hAnsi="宋体"/>
          <w:szCs w:val="21"/>
        </w:rPr>
        <w:fldChar w:fldCharType="separate"/>
      </w:r>
      <w:r>
        <w:rPr>
          <w:rFonts w:hint="eastAsia" w:ascii="宋体" w:hAnsi="宋体" w:eastAsia="宋体"/>
        </w:rPr>
        <w:t>第五篇  合同</w:t>
      </w:r>
      <w:r>
        <w:tab/>
      </w:r>
      <w:r>
        <w:fldChar w:fldCharType="begin"/>
      </w:r>
      <w:r>
        <w:instrText xml:space="preserve"> PAGEREF _Toc13712 \h </w:instrText>
      </w:r>
      <w:r>
        <w:fldChar w:fldCharType="separate"/>
      </w:r>
      <w:r>
        <w:t>- 24 -</w:t>
      </w:r>
      <w:r>
        <w:fldChar w:fldCharType="end"/>
      </w:r>
      <w:r>
        <w:rPr>
          <w:rFonts w:hint="eastAsia" w:ascii="宋体" w:hAnsi="宋体"/>
          <w:szCs w:val="21"/>
        </w:rPr>
        <w:fldChar w:fldCharType="end"/>
      </w:r>
    </w:p>
    <w:p>
      <w:pPr>
        <w:pStyle w:val="38"/>
        <w:tabs>
          <w:tab w:val="right" w:leader="dot" w:pos="9412"/>
          <w:tab w:val="clear" w:pos="1260"/>
          <w:tab w:val="clear" w:pos="1685"/>
          <w:tab w:val="clear" w:pos="8400"/>
        </w:tabs>
      </w:pPr>
      <w:r>
        <w:rPr>
          <w:rFonts w:hint="eastAsia" w:ascii="宋体" w:hAnsi="宋体"/>
          <w:szCs w:val="21"/>
        </w:rPr>
        <w:fldChar w:fldCharType="begin"/>
      </w:r>
      <w:r>
        <w:rPr>
          <w:rFonts w:hint="eastAsia" w:ascii="宋体" w:hAnsi="宋体"/>
          <w:szCs w:val="21"/>
        </w:rPr>
        <w:instrText xml:space="preserve"> HYPERLINK \l _Toc8360 </w:instrText>
      </w:r>
      <w:r>
        <w:rPr>
          <w:rFonts w:hint="eastAsia" w:ascii="宋体" w:hAnsi="宋体"/>
          <w:szCs w:val="21"/>
        </w:rPr>
        <w:fldChar w:fldCharType="separate"/>
      </w:r>
      <w:r>
        <w:rPr>
          <w:rFonts w:hint="eastAsia" w:ascii="宋体" w:hAnsi="宋体" w:eastAsia="宋体"/>
        </w:rPr>
        <w:t>第六篇  响应文件格式</w:t>
      </w:r>
      <w:r>
        <w:tab/>
      </w:r>
      <w:r>
        <w:fldChar w:fldCharType="begin"/>
      </w:r>
      <w:r>
        <w:instrText xml:space="preserve"> PAGEREF _Toc8360 \h </w:instrText>
      </w:r>
      <w:r>
        <w:fldChar w:fldCharType="separate"/>
      </w:r>
      <w:r>
        <w:t>- 26 -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_Toc12664 </w:instrText>
      </w:r>
      <w:r>
        <w:rPr>
          <w:rFonts w:hint="eastAsia" w:ascii="宋体" w:hAnsi="宋体"/>
          <w:szCs w:val="21"/>
        </w:rPr>
        <w:fldChar w:fldCharType="separate"/>
      </w:r>
      <w:r>
        <w:rPr>
          <w:rFonts w:hint="eastAsia"/>
          <w:szCs w:val="28"/>
        </w:rPr>
        <w:t>一、经济文件</w:t>
      </w:r>
      <w:r>
        <w:tab/>
      </w:r>
      <w:r>
        <w:fldChar w:fldCharType="begin"/>
      </w:r>
      <w:r>
        <w:instrText xml:space="preserve"> PAGEREF _Toc12664 \h </w:instrText>
      </w:r>
      <w:r>
        <w:fldChar w:fldCharType="separate"/>
      </w:r>
      <w:r>
        <w:t>- 27 -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_Toc20784 </w:instrText>
      </w:r>
      <w:r>
        <w:rPr>
          <w:rFonts w:hint="eastAsia" w:ascii="宋体" w:hAnsi="宋体"/>
          <w:szCs w:val="21"/>
        </w:rPr>
        <w:fldChar w:fldCharType="separate"/>
      </w:r>
      <w:r>
        <w:rPr>
          <w:rFonts w:hint="eastAsia"/>
          <w:szCs w:val="28"/>
        </w:rPr>
        <w:t>二、资格文件</w:t>
      </w:r>
      <w:r>
        <w:tab/>
      </w:r>
      <w:r>
        <w:fldChar w:fldCharType="begin"/>
      </w:r>
      <w:r>
        <w:instrText xml:space="preserve"> PAGEREF _Toc20784 \h </w:instrText>
      </w:r>
      <w:r>
        <w:fldChar w:fldCharType="separate"/>
      </w:r>
      <w:r>
        <w:t>- 29 -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_Toc25148 </w:instrText>
      </w:r>
      <w:r>
        <w:rPr>
          <w:rFonts w:hint="eastAsia" w:ascii="宋体" w:hAnsi="宋体"/>
          <w:szCs w:val="21"/>
        </w:rPr>
        <w:fldChar w:fldCharType="separate"/>
      </w:r>
      <w:r>
        <w:rPr>
          <w:rFonts w:hint="eastAsia"/>
          <w:szCs w:val="28"/>
        </w:rPr>
        <w:t>三、服务响应文件</w:t>
      </w:r>
      <w:r>
        <w:tab/>
      </w:r>
      <w:r>
        <w:fldChar w:fldCharType="begin"/>
      </w:r>
      <w:r>
        <w:instrText xml:space="preserve"> PAGEREF _Toc25148 \h </w:instrText>
      </w:r>
      <w:r>
        <w:fldChar w:fldCharType="separate"/>
      </w:r>
      <w:r>
        <w:t>- 34 -</w:t>
      </w:r>
      <w:r>
        <w:fldChar w:fldCharType="end"/>
      </w:r>
      <w:r>
        <w:rPr>
          <w:rFonts w:hint="eastAsia" w:ascii="宋体" w:hAnsi="宋体"/>
          <w:szCs w:val="21"/>
        </w:rPr>
        <w:fldChar w:fldCharType="end"/>
      </w:r>
    </w:p>
    <w:p>
      <w:pPr>
        <w:pStyle w:val="46"/>
        <w:tabs>
          <w:tab w:val="right" w:leader="dot" w:pos="9412"/>
          <w:tab w:val="clear" w:pos="8400"/>
        </w:tabs>
      </w:pPr>
      <w:r>
        <w:rPr>
          <w:rFonts w:hint="eastAsia" w:ascii="宋体" w:hAnsi="宋体"/>
          <w:szCs w:val="21"/>
        </w:rPr>
        <w:fldChar w:fldCharType="begin"/>
      </w:r>
      <w:r>
        <w:rPr>
          <w:rFonts w:hint="eastAsia" w:ascii="宋体" w:hAnsi="宋体"/>
          <w:szCs w:val="21"/>
        </w:rPr>
        <w:instrText xml:space="preserve"> HYPERLINK \l _Toc27250 </w:instrText>
      </w:r>
      <w:r>
        <w:rPr>
          <w:rFonts w:hint="eastAsia" w:ascii="宋体" w:hAnsi="宋体"/>
          <w:szCs w:val="21"/>
        </w:rPr>
        <w:fldChar w:fldCharType="separate"/>
      </w:r>
      <w:r>
        <w:rPr>
          <w:rFonts w:hint="eastAsia"/>
          <w:szCs w:val="28"/>
        </w:rPr>
        <w:t>四、其他</w:t>
      </w:r>
      <w:r>
        <w:tab/>
      </w:r>
      <w:r>
        <w:fldChar w:fldCharType="begin"/>
      </w:r>
      <w:r>
        <w:instrText xml:space="preserve"> PAGEREF _Toc27250 \h </w:instrText>
      </w:r>
      <w:r>
        <w:fldChar w:fldCharType="separate"/>
      </w:r>
      <w:r>
        <w:t>- 37 -</w:t>
      </w:r>
      <w:r>
        <w:fldChar w:fldCharType="end"/>
      </w:r>
      <w:r>
        <w:rPr>
          <w:rFonts w:hint="eastAsia" w:ascii="宋体" w:hAnsi="宋体"/>
          <w:szCs w:val="21"/>
        </w:rPr>
        <w:fldChar w:fldCharType="end"/>
      </w:r>
    </w:p>
    <w:p>
      <w:pPr>
        <w:pStyle w:val="38"/>
        <w:spacing w:line="276" w:lineRule="auto"/>
        <w:ind w:firstLine="0" w:firstLineChars="0"/>
        <w:rPr>
          <w:rFonts w:hint="eastAsia" w:ascii="宋体" w:hAnsi="宋体"/>
          <w:sz w:val="32"/>
        </w:rPr>
        <w:sectPr>
          <w:pgSz w:w="11907" w:h="16840"/>
          <w:pgMar w:top="1134" w:right="1191" w:bottom="1134" w:left="1304" w:header="964" w:footer="992" w:gutter="0"/>
          <w:pgNumType w:fmt="numberInDash" w:start="1"/>
          <w:cols w:space="720" w:num="1"/>
          <w:docGrid w:linePitch="312" w:charSpace="0"/>
        </w:sectPr>
      </w:pPr>
      <w:r>
        <w:rPr>
          <w:rFonts w:hint="eastAsia" w:ascii="宋体" w:hAnsi="宋体"/>
          <w:szCs w:val="21"/>
        </w:rPr>
        <w:fldChar w:fldCharType="end"/>
      </w:r>
    </w:p>
    <w:p>
      <w:pPr>
        <w:pStyle w:val="3"/>
        <w:numPr>
          <w:ilvl w:val="0"/>
          <w:numId w:val="16"/>
        </w:numPr>
        <w:spacing w:before="0" w:beforeLines="0" w:after="0" w:afterLines="0" w:line="276" w:lineRule="auto"/>
        <w:ind w:left="1531" w:hanging="1531"/>
        <w:rPr>
          <w:rFonts w:hint="eastAsia" w:ascii="宋体" w:hAnsi="宋体" w:eastAsia="宋体"/>
        </w:rPr>
      </w:pPr>
      <w:bookmarkStart w:id="0" w:name="_Toc31153"/>
      <w:bookmarkStart w:id="1" w:name="_Toc441065652"/>
      <w:r>
        <w:rPr>
          <w:rFonts w:hint="eastAsia" w:ascii="宋体" w:hAnsi="宋体" w:eastAsia="宋体"/>
        </w:rPr>
        <w:t>竞争性磋商邀请书</w:t>
      </w:r>
      <w:bookmarkEnd w:id="0"/>
      <w:bookmarkEnd w:id="1"/>
    </w:p>
    <w:p>
      <w:pPr>
        <w:snapToGrid w:val="0"/>
        <w:spacing w:line="276" w:lineRule="auto"/>
        <w:ind w:firstLine="480" w:firstLineChars="200"/>
        <w:rPr>
          <w:rFonts w:hint="eastAsia" w:ascii="宋体" w:hAnsi="宋体"/>
          <w:sz w:val="24"/>
          <w:szCs w:val="24"/>
        </w:rPr>
      </w:pPr>
      <w:r>
        <w:rPr>
          <w:rFonts w:hint="eastAsia" w:ascii="宋体" w:hAnsi="宋体"/>
          <w:sz w:val="24"/>
          <w:szCs w:val="24"/>
        </w:rPr>
        <w:t>采购人将对以下项目进行竞争性磋商，欢迎有资格的供应商参与磋商。</w:t>
      </w:r>
    </w:p>
    <w:p>
      <w:pPr>
        <w:pStyle w:val="4"/>
        <w:spacing w:before="120" w:beforeLines="50" w:line="276" w:lineRule="auto"/>
        <w:ind w:firstLine="482" w:firstLineChars="200"/>
        <w:rPr>
          <w:rFonts w:hint="eastAsia"/>
          <w:b/>
          <w:sz w:val="24"/>
        </w:rPr>
      </w:pPr>
      <w:bookmarkStart w:id="2" w:name="_Toc441065653"/>
      <w:bookmarkStart w:id="3" w:name="_Toc28793"/>
      <w:r>
        <w:rPr>
          <w:rFonts w:hint="eastAsia"/>
          <w:b/>
          <w:sz w:val="24"/>
        </w:rPr>
        <w:t>一、项目内容</w:t>
      </w:r>
      <w:bookmarkEnd w:id="2"/>
      <w:bookmarkEnd w:id="3"/>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52"/>
        <w:gridCol w:w="1575"/>
        <w:gridCol w:w="174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pPr>
              <w:pStyle w:val="24"/>
              <w:spacing w:line="276" w:lineRule="auto"/>
              <w:ind w:left="0"/>
              <w:jc w:val="center"/>
              <w:outlineLvl w:val="0"/>
              <w:rPr>
                <w:rFonts w:hint="eastAsia" w:ascii="宋体" w:hAnsi="宋体"/>
                <w:sz w:val="24"/>
                <w:szCs w:val="24"/>
              </w:rPr>
            </w:pPr>
            <w:r>
              <w:rPr>
                <w:rFonts w:hint="eastAsia" w:ascii="宋体" w:hAnsi="宋体"/>
                <w:sz w:val="24"/>
                <w:szCs w:val="24"/>
              </w:rPr>
              <w:t>分包号</w:t>
            </w:r>
          </w:p>
        </w:tc>
        <w:tc>
          <w:tcPr>
            <w:tcW w:w="3652" w:type="dxa"/>
            <w:noWrap w:val="0"/>
            <w:vAlign w:val="center"/>
          </w:tcPr>
          <w:p>
            <w:pPr>
              <w:pStyle w:val="24"/>
              <w:spacing w:line="276" w:lineRule="auto"/>
              <w:ind w:left="0"/>
              <w:jc w:val="center"/>
              <w:outlineLvl w:val="0"/>
              <w:rPr>
                <w:rFonts w:hint="eastAsia" w:ascii="宋体" w:hAnsi="宋体"/>
                <w:sz w:val="24"/>
                <w:szCs w:val="24"/>
              </w:rPr>
            </w:pPr>
            <w:r>
              <w:rPr>
                <w:rFonts w:hint="eastAsia" w:ascii="宋体" w:hAnsi="宋体"/>
                <w:sz w:val="24"/>
                <w:szCs w:val="24"/>
              </w:rPr>
              <w:t>项目名称</w:t>
            </w:r>
          </w:p>
        </w:tc>
        <w:tc>
          <w:tcPr>
            <w:tcW w:w="1575" w:type="dxa"/>
            <w:noWrap w:val="0"/>
            <w:vAlign w:val="center"/>
          </w:tcPr>
          <w:p>
            <w:pPr>
              <w:pStyle w:val="24"/>
              <w:spacing w:line="276" w:lineRule="auto"/>
              <w:ind w:left="0"/>
              <w:jc w:val="center"/>
              <w:outlineLvl w:val="0"/>
              <w:rPr>
                <w:rFonts w:hint="eastAsia" w:ascii="宋体" w:hAnsi="宋体"/>
                <w:sz w:val="24"/>
                <w:szCs w:val="24"/>
              </w:rPr>
            </w:pPr>
            <w:r>
              <w:rPr>
                <w:rFonts w:hint="eastAsia" w:ascii="宋体" w:hAnsi="宋体"/>
                <w:sz w:val="24"/>
                <w:szCs w:val="24"/>
              </w:rPr>
              <w:t>最高限价</w:t>
            </w:r>
          </w:p>
          <w:p>
            <w:pPr>
              <w:pStyle w:val="24"/>
              <w:spacing w:line="276" w:lineRule="auto"/>
              <w:ind w:left="0"/>
              <w:jc w:val="center"/>
              <w:outlineLvl w:val="0"/>
              <w:rPr>
                <w:rFonts w:hint="eastAsia" w:ascii="宋体" w:hAnsi="宋体"/>
                <w:sz w:val="24"/>
                <w:szCs w:val="24"/>
              </w:rPr>
            </w:pPr>
            <w:r>
              <w:rPr>
                <w:rFonts w:hint="eastAsia" w:ascii="宋体" w:hAnsi="宋体"/>
                <w:sz w:val="24"/>
                <w:szCs w:val="24"/>
              </w:rPr>
              <w:t>（万元）</w:t>
            </w:r>
          </w:p>
        </w:tc>
        <w:tc>
          <w:tcPr>
            <w:tcW w:w="1740" w:type="dxa"/>
            <w:noWrap w:val="0"/>
            <w:vAlign w:val="center"/>
          </w:tcPr>
          <w:p>
            <w:pPr>
              <w:pStyle w:val="24"/>
              <w:spacing w:line="276" w:lineRule="auto"/>
              <w:ind w:left="0"/>
              <w:jc w:val="center"/>
              <w:outlineLvl w:val="0"/>
              <w:rPr>
                <w:rFonts w:hint="eastAsia" w:ascii="宋体" w:hAnsi="宋体"/>
                <w:sz w:val="24"/>
                <w:szCs w:val="24"/>
              </w:rPr>
            </w:pPr>
            <w:r>
              <w:rPr>
                <w:rFonts w:hint="eastAsia" w:ascii="宋体" w:hAnsi="宋体"/>
                <w:sz w:val="24"/>
                <w:szCs w:val="24"/>
              </w:rPr>
              <w:t>磋商保证金</w:t>
            </w:r>
          </w:p>
          <w:p>
            <w:pPr>
              <w:pStyle w:val="24"/>
              <w:spacing w:line="276" w:lineRule="auto"/>
              <w:ind w:left="0"/>
              <w:jc w:val="center"/>
              <w:outlineLvl w:val="0"/>
              <w:rPr>
                <w:rFonts w:hint="eastAsia" w:ascii="宋体" w:hAnsi="宋体"/>
                <w:sz w:val="24"/>
                <w:szCs w:val="24"/>
              </w:rPr>
            </w:pPr>
            <w:r>
              <w:rPr>
                <w:rFonts w:hint="eastAsia" w:ascii="宋体" w:hAnsi="宋体"/>
                <w:sz w:val="24"/>
                <w:szCs w:val="24"/>
              </w:rPr>
              <w:t>（万元）</w:t>
            </w:r>
          </w:p>
        </w:tc>
        <w:tc>
          <w:tcPr>
            <w:tcW w:w="899" w:type="dxa"/>
            <w:noWrap w:val="0"/>
            <w:vAlign w:val="center"/>
          </w:tcPr>
          <w:p>
            <w:pPr>
              <w:pStyle w:val="24"/>
              <w:spacing w:line="276" w:lineRule="auto"/>
              <w:ind w:left="0"/>
              <w:jc w:val="center"/>
              <w:outlineLvl w:val="0"/>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60" w:type="dxa"/>
            <w:noWrap w:val="0"/>
            <w:vAlign w:val="center"/>
          </w:tcPr>
          <w:p>
            <w:pPr>
              <w:pStyle w:val="16"/>
              <w:spacing w:line="276" w:lineRule="auto"/>
              <w:ind w:firstLine="0"/>
              <w:jc w:val="center"/>
              <w:outlineLvl w:val="0"/>
              <w:rPr>
                <w:rFonts w:hint="eastAsia" w:ascii="宋体" w:hAnsi="宋体"/>
                <w:szCs w:val="24"/>
              </w:rPr>
            </w:pPr>
            <w:r>
              <w:rPr>
                <w:rFonts w:hint="eastAsia" w:ascii="宋体" w:hAnsi="宋体"/>
                <w:szCs w:val="24"/>
              </w:rPr>
              <w:t>1</w:t>
            </w:r>
          </w:p>
        </w:tc>
        <w:tc>
          <w:tcPr>
            <w:tcW w:w="3652" w:type="dxa"/>
            <w:noWrap w:val="0"/>
            <w:vAlign w:val="center"/>
          </w:tcPr>
          <w:p>
            <w:pPr>
              <w:pStyle w:val="24"/>
              <w:spacing w:line="276" w:lineRule="auto"/>
              <w:ind w:left="0"/>
              <w:jc w:val="center"/>
              <w:outlineLvl w:val="0"/>
              <w:rPr>
                <w:rFonts w:hint="eastAsia" w:ascii="宋体" w:hAnsi="宋体"/>
                <w:sz w:val="24"/>
                <w:szCs w:val="24"/>
              </w:rPr>
            </w:pPr>
            <w:r>
              <w:rPr>
                <w:rFonts w:hint="eastAsia" w:ascii="宋体" w:hAnsi="宋体" w:eastAsia="宋体" w:cs="Times New Roman"/>
                <w:sz w:val="24"/>
                <w:szCs w:val="24"/>
              </w:rPr>
              <w:t>互联网+慢性肾</w:t>
            </w:r>
            <w:r>
              <w:rPr>
                <w:rFonts w:hint="eastAsia" w:ascii="宋体" w:hAnsi="宋体" w:eastAsia="宋体" w:cs="Times New Roman"/>
                <w:sz w:val="24"/>
                <w:szCs w:val="24"/>
                <w:lang w:val="en-US" w:eastAsia="zh-CN"/>
              </w:rPr>
              <w:t>脏</w:t>
            </w:r>
            <w:r>
              <w:rPr>
                <w:rFonts w:hint="eastAsia" w:ascii="宋体" w:hAnsi="宋体" w:eastAsia="宋体" w:cs="Times New Roman"/>
                <w:sz w:val="24"/>
                <w:szCs w:val="24"/>
              </w:rPr>
              <w:t>病管理系统</w:t>
            </w:r>
          </w:p>
        </w:tc>
        <w:tc>
          <w:tcPr>
            <w:tcW w:w="1575" w:type="dxa"/>
            <w:noWrap w:val="0"/>
            <w:vAlign w:val="center"/>
          </w:tcPr>
          <w:p>
            <w:pPr>
              <w:pStyle w:val="24"/>
              <w:spacing w:line="276" w:lineRule="auto"/>
              <w:ind w:left="0"/>
              <w:jc w:val="center"/>
              <w:outlineLvl w:val="0"/>
              <w:rPr>
                <w:rFonts w:hint="eastAsia" w:ascii="宋体" w:hAnsi="宋体" w:eastAsia="宋体"/>
                <w:sz w:val="24"/>
                <w:szCs w:val="24"/>
                <w:lang w:eastAsia="zh-CN"/>
              </w:rPr>
            </w:pPr>
            <w:r>
              <w:rPr>
                <w:rFonts w:hint="eastAsia" w:ascii="宋体" w:hAnsi="宋体"/>
                <w:sz w:val="24"/>
                <w:szCs w:val="24"/>
                <w:lang w:val="en-US" w:eastAsia="zh-CN"/>
              </w:rPr>
              <w:t>8</w:t>
            </w:r>
          </w:p>
        </w:tc>
        <w:tc>
          <w:tcPr>
            <w:tcW w:w="1740" w:type="dxa"/>
            <w:noWrap w:val="0"/>
            <w:vAlign w:val="center"/>
          </w:tcPr>
          <w:p>
            <w:pPr>
              <w:pStyle w:val="24"/>
              <w:spacing w:line="276" w:lineRule="auto"/>
              <w:ind w:left="0"/>
              <w:jc w:val="center"/>
              <w:outlineLvl w:val="0"/>
              <w:rPr>
                <w:rFonts w:hint="eastAsia" w:ascii="宋体" w:hAnsi="宋体" w:eastAsia="宋体"/>
                <w:sz w:val="24"/>
                <w:szCs w:val="24"/>
                <w:lang w:val="en-US" w:eastAsia="zh-CN"/>
              </w:rPr>
            </w:pPr>
            <w:r>
              <w:rPr>
                <w:rFonts w:hint="eastAsia" w:ascii="宋体" w:hAnsi="宋体"/>
                <w:sz w:val="24"/>
                <w:szCs w:val="24"/>
                <w:lang w:val="en-US" w:eastAsia="zh-CN"/>
              </w:rPr>
              <w:t>0</w:t>
            </w:r>
          </w:p>
        </w:tc>
        <w:tc>
          <w:tcPr>
            <w:tcW w:w="899" w:type="dxa"/>
            <w:noWrap w:val="0"/>
            <w:vAlign w:val="top"/>
          </w:tcPr>
          <w:p>
            <w:pPr>
              <w:pStyle w:val="16"/>
              <w:spacing w:line="276" w:lineRule="auto"/>
              <w:ind w:firstLine="0"/>
              <w:outlineLvl w:val="0"/>
              <w:rPr>
                <w:rFonts w:hint="eastAsia" w:ascii="宋体" w:hAnsi="宋体"/>
                <w:szCs w:val="24"/>
              </w:rPr>
            </w:pPr>
          </w:p>
        </w:tc>
      </w:tr>
    </w:tbl>
    <w:p>
      <w:pPr>
        <w:pStyle w:val="4"/>
        <w:spacing w:before="120" w:beforeLines="50" w:line="276" w:lineRule="auto"/>
        <w:ind w:firstLine="482" w:firstLineChars="200"/>
        <w:rPr>
          <w:rFonts w:hint="eastAsia"/>
          <w:b/>
          <w:sz w:val="24"/>
        </w:rPr>
      </w:pPr>
      <w:bookmarkStart w:id="4" w:name="_Toc441065654"/>
      <w:bookmarkStart w:id="5" w:name="_Toc17077"/>
      <w:r>
        <w:rPr>
          <w:rFonts w:hint="eastAsia"/>
          <w:b/>
          <w:sz w:val="24"/>
        </w:rPr>
        <w:t>二、资金来源</w:t>
      </w:r>
      <w:bookmarkEnd w:id="4"/>
      <w:bookmarkEnd w:id="5"/>
    </w:p>
    <w:p>
      <w:pPr>
        <w:spacing w:line="276" w:lineRule="auto"/>
        <w:ind w:firstLine="480" w:firstLineChars="200"/>
        <w:rPr>
          <w:rFonts w:hint="eastAsia" w:ascii="宋体" w:hAnsi="宋体"/>
          <w:sz w:val="24"/>
          <w:szCs w:val="24"/>
        </w:rPr>
      </w:pPr>
      <w:r>
        <w:rPr>
          <w:rFonts w:hint="eastAsia" w:ascii="宋体" w:hAnsi="宋体"/>
          <w:sz w:val="24"/>
          <w:szCs w:val="24"/>
        </w:rPr>
        <w:t>本项目经费由采购人科研项目“基于互联网+</w:t>
      </w:r>
      <w:r>
        <w:rPr>
          <w:rFonts w:hint="eastAsia" w:ascii="宋体" w:hAnsi="宋体"/>
          <w:sz w:val="24"/>
          <w:szCs w:val="24"/>
          <w:lang w:val="en-US" w:eastAsia="zh-CN"/>
        </w:rPr>
        <w:t>慢性肾脏病管理系统</w:t>
      </w:r>
      <w:r>
        <w:rPr>
          <w:rFonts w:hint="eastAsia" w:ascii="宋体" w:hAnsi="宋体"/>
          <w:sz w:val="24"/>
          <w:szCs w:val="24"/>
        </w:rPr>
        <w:t>”中支出，预算金额为</w:t>
      </w:r>
      <w:r>
        <w:rPr>
          <w:rFonts w:hint="eastAsia" w:ascii="宋体" w:hAnsi="宋体"/>
          <w:sz w:val="24"/>
          <w:szCs w:val="24"/>
          <w:u w:val="single"/>
        </w:rPr>
        <w:t xml:space="preserve"> </w:t>
      </w:r>
      <w:r>
        <w:rPr>
          <w:rFonts w:hint="eastAsia" w:ascii="宋体" w:hAnsi="宋体"/>
          <w:sz w:val="24"/>
          <w:szCs w:val="24"/>
          <w:u w:val="single"/>
          <w:lang w:val="en-US" w:eastAsia="zh-CN"/>
        </w:rPr>
        <w:t>8</w:t>
      </w:r>
      <w:r>
        <w:rPr>
          <w:rFonts w:hint="eastAsia" w:ascii="宋体" w:hAnsi="宋体"/>
          <w:sz w:val="24"/>
          <w:szCs w:val="24"/>
          <w:u w:val="single"/>
        </w:rPr>
        <w:t xml:space="preserve"> </w:t>
      </w:r>
      <w:r>
        <w:rPr>
          <w:rFonts w:hint="eastAsia" w:ascii="宋体" w:hAnsi="宋体"/>
          <w:sz w:val="24"/>
          <w:szCs w:val="24"/>
        </w:rPr>
        <w:t>万元。</w:t>
      </w:r>
    </w:p>
    <w:p>
      <w:pPr>
        <w:pStyle w:val="4"/>
        <w:spacing w:before="120" w:beforeLines="50" w:line="276" w:lineRule="auto"/>
        <w:ind w:firstLine="482" w:firstLineChars="200"/>
        <w:rPr>
          <w:rFonts w:hint="eastAsia"/>
          <w:b/>
          <w:sz w:val="24"/>
        </w:rPr>
      </w:pPr>
      <w:bookmarkStart w:id="6" w:name="_Toc23415"/>
      <w:bookmarkStart w:id="7" w:name="_Toc441065655"/>
      <w:r>
        <w:rPr>
          <w:rFonts w:hint="eastAsia"/>
          <w:b/>
          <w:sz w:val="24"/>
        </w:rPr>
        <w:t>三、供应商资格要求</w:t>
      </w:r>
      <w:bookmarkEnd w:id="6"/>
      <w:bookmarkEnd w:id="7"/>
    </w:p>
    <w:p>
      <w:pPr>
        <w:spacing w:line="276" w:lineRule="auto"/>
        <w:ind w:firstLine="480" w:firstLineChars="200"/>
        <w:rPr>
          <w:rFonts w:hint="eastAsia" w:ascii="宋体" w:hAnsi="宋体"/>
          <w:sz w:val="24"/>
          <w:szCs w:val="24"/>
        </w:rPr>
      </w:pPr>
      <w:r>
        <w:rPr>
          <w:rFonts w:hint="eastAsia" w:ascii="宋体" w:hAnsi="宋体"/>
          <w:sz w:val="24"/>
          <w:szCs w:val="24"/>
        </w:rPr>
        <w:t>合格供应商应首先符合政府采购法第二十二条规定的基本条件，同时符合根据该项目特点设置的特定资格条件。</w:t>
      </w:r>
    </w:p>
    <w:p>
      <w:pPr>
        <w:spacing w:line="276" w:lineRule="auto"/>
        <w:ind w:firstLine="480" w:firstLineChars="200"/>
        <w:rPr>
          <w:rFonts w:hint="eastAsia" w:ascii="宋体" w:hAnsi="宋体"/>
          <w:sz w:val="24"/>
          <w:szCs w:val="24"/>
        </w:rPr>
      </w:pPr>
      <w:r>
        <w:rPr>
          <w:rFonts w:hint="eastAsia" w:ascii="宋体" w:hAnsi="宋体"/>
          <w:sz w:val="24"/>
          <w:szCs w:val="24"/>
        </w:rPr>
        <w:t>（一）基本资格条件</w:t>
      </w:r>
    </w:p>
    <w:p>
      <w:pPr>
        <w:snapToGrid w:val="0"/>
        <w:spacing w:line="276" w:lineRule="auto"/>
        <w:ind w:firstLine="480" w:firstLineChars="200"/>
        <w:rPr>
          <w:rFonts w:hint="eastAsia" w:ascii="宋体" w:hAnsi="宋体"/>
          <w:sz w:val="24"/>
          <w:szCs w:val="24"/>
        </w:rPr>
      </w:pPr>
      <w:r>
        <w:rPr>
          <w:rFonts w:hint="eastAsia" w:ascii="宋体" w:hAnsi="宋体"/>
          <w:sz w:val="24"/>
          <w:szCs w:val="24"/>
        </w:rPr>
        <w:t>1、具有独立承担民事责任的能力；</w:t>
      </w:r>
    </w:p>
    <w:p>
      <w:pPr>
        <w:snapToGrid w:val="0"/>
        <w:spacing w:line="276" w:lineRule="auto"/>
        <w:ind w:firstLine="480" w:firstLineChars="200"/>
        <w:rPr>
          <w:rFonts w:hint="eastAsia" w:ascii="宋体" w:hAnsi="宋体"/>
          <w:sz w:val="24"/>
          <w:szCs w:val="24"/>
        </w:rPr>
      </w:pPr>
      <w:r>
        <w:rPr>
          <w:rFonts w:hint="eastAsia" w:ascii="宋体" w:hAnsi="宋体"/>
          <w:sz w:val="24"/>
          <w:szCs w:val="24"/>
        </w:rPr>
        <w:t>2、具有良好的商业信誉和健全的财务会计制度；</w:t>
      </w:r>
    </w:p>
    <w:p>
      <w:pPr>
        <w:snapToGrid w:val="0"/>
        <w:spacing w:line="276" w:lineRule="auto"/>
        <w:ind w:firstLine="480" w:firstLineChars="200"/>
        <w:rPr>
          <w:rFonts w:hint="eastAsia" w:ascii="宋体" w:hAnsi="宋体"/>
          <w:sz w:val="24"/>
          <w:szCs w:val="24"/>
        </w:rPr>
      </w:pPr>
      <w:r>
        <w:rPr>
          <w:rFonts w:hint="eastAsia" w:ascii="宋体" w:hAnsi="宋体"/>
          <w:sz w:val="24"/>
          <w:szCs w:val="24"/>
        </w:rPr>
        <w:t>3、具有履行合同所必需的设备和专业技术能力；</w:t>
      </w:r>
    </w:p>
    <w:p>
      <w:pPr>
        <w:snapToGrid w:val="0"/>
        <w:spacing w:line="276" w:lineRule="auto"/>
        <w:ind w:firstLine="480" w:firstLineChars="200"/>
        <w:rPr>
          <w:rFonts w:hint="eastAsia" w:ascii="宋体" w:hAnsi="宋体"/>
          <w:sz w:val="24"/>
          <w:szCs w:val="24"/>
        </w:rPr>
      </w:pPr>
      <w:r>
        <w:rPr>
          <w:rFonts w:hint="eastAsia" w:ascii="宋体" w:hAnsi="宋体"/>
          <w:sz w:val="24"/>
          <w:szCs w:val="24"/>
        </w:rPr>
        <w:t>4、有依法缴纳税收和社会保障资金的良好记录；</w:t>
      </w:r>
    </w:p>
    <w:p>
      <w:pPr>
        <w:spacing w:line="276" w:lineRule="auto"/>
        <w:ind w:firstLine="480" w:firstLineChars="200"/>
        <w:rPr>
          <w:rFonts w:hint="eastAsia" w:ascii="宋体" w:hAnsi="宋体"/>
          <w:sz w:val="24"/>
          <w:szCs w:val="24"/>
        </w:rPr>
      </w:pPr>
      <w:r>
        <w:rPr>
          <w:rFonts w:hint="eastAsia" w:ascii="宋体" w:hAnsi="宋体"/>
          <w:sz w:val="24"/>
          <w:szCs w:val="24"/>
        </w:rPr>
        <w:t>5、参加政府采购活动前三年内，在经营活动中没有重大违法记录;</w:t>
      </w:r>
    </w:p>
    <w:p>
      <w:pPr>
        <w:spacing w:line="276" w:lineRule="auto"/>
        <w:ind w:firstLine="480" w:firstLineChars="200"/>
        <w:rPr>
          <w:rFonts w:hint="eastAsia" w:ascii="宋体" w:hAnsi="宋体"/>
          <w:sz w:val="24"/>
          <w:szCs w:val="24"/>
        </w:rPr>
      </w:pPr>
      <w:r>
        <w:rPr>
          <w:rFonts w:hint="eastAsia" w:ascii="宋体" w:hAnsi="宋体"/>
          <w:sz w:val="24"/>
          <w:szCs w:val="24"/>
        </w:rPr>
        <w:t>6、法律、行政法规规定的其他条件。</w:t>
      </w:r>
    </w:p>
    <w:p>
      <w:pPr>
        <w:spacing w:line="276" w:lineRule="auto"/>
        <w:ind w:firstLine="480" w:firstLineChars="200"/>
        <w:rPr>
          <w:rFonts w:hint="eastAsia" w:ascii="宋体" w:hAnsi="宋体"/>
          <w:sz w:val="24"/>
          <w:szCs w:val="24"/>
        </w:rPr>
      </w:pPr>
      <w:r>
        <w:rPr>
          <w:rFonts w:hint="eastAsia" w:ascii="宋体" w:hAnsi="宋体"/>
          <w:sz w:val="24"/>
          <w:szCs w:val="24"/>
        </w:rPr>
        <w:t>（二）特定资格条件：无</w:t>
      </w:r>
    </w:p>
    <w:p>
      <w:pPr>
        <w:spacing w:line="276" w:lineRule="auto"/>
        <w:ind w:firstLine="482" w:firstLineChars="200"/>
        <w:rPr>
          <w:rFonts w:hint="eastAsia" w:ascii="宋体" w:hAnsi="宋体"/>
          <w:b/>
          <w:sz w:val="24"/>
          <w:szCs w:val="24"/>
        </w:rPr>
      </w:pPr>
      <w:r>
        <w:rPr>
          <w:rFonts w:hint="eastAsia" w:ascii="宋体" w:hAnsi="宋体"/>
          <w:b/>
          <w:sz w:val="24"/>
          <w:szCs w:val="24"/>
        </w:rPr>
        <w:t>特别说明：本项目不接受联合体参与磋商</w:t>
      </w:r>
    </w:p>
    <w:p>
      <w:pPr>
        <w:pStyle w:val="4"/>
        <w:spacing w:before="120" w:beforeLines="50" w:line="276" w:lineRule="auto"/>
        <w:rPr>
          <w:rFonts w:hint="eastAsia"/>
          <w:b/>
          <w:sz w:val="24"/>
        </w:rPr>
      </w:pPr>
      <w:bookmarkStart w:id="8" w:name="_Toc441065656"/>
      <w:bookmarkStart w:id="9" w:name="_Toc2365"/>
      <w:r>
        <w:rPr>
          <w:rFonts w:hint="eastAsia"/>
          <w:b/>
          <w:sz w:val="24"/>
        </w:rPr>
        <w:t>四、磋商</w:t>
      </w:r>
      <w:bookmarkEnd w:id="8"/>
      <w:r>
        <w:rPr>
          <w:rFonts w:hint="eastAsia"/>
          <w:b/>
          <w:sz w:val="24"/>
        </w:rPr>
        <w:t>报名</w:t>
      </w:r>
      <w:bookmarkEnd w:id="9"/>
    </w:p>
    <w:p>
      <w:pPr>
        <w:spacing w:line="276" w:lineRule="auto"/>
        <w:ind w:firstLine="480" w:firstLineChars="200"/>
        <w:rPr>
          <w:rFonts w:hint="eastAsia" w:ascii="宋体" w:hAnsi="宋体"/>
          <w:sz w:val="24"/>
          <w:szCs w:val="24"/>
        </w:rPr>
      </w:pPr>
      <w:r>
        <w:rPr>
          <w:rFonts w:hint="eastAsia" w:ascii="宋体" w:hAnsi="宋体"/>
          <w:sz w:val="24"/>
          <w:szCs w:val="24"/>
        </w:rPr>
        <w:t>凡有意参加磋商的供应商，自行在重庆市第九人民医院官网（</w:t>
      </w:r>
      <w:r>
        <w:rPr>
          <w:rFonts w:hint="eastAsia" w:ascii="宋体" w:hAnsi="宋体"/>
          <w:sz w:val="24"/>
          <w:szCs w:val="24"/>
        </w:rPr>
        <w:fldChar w:fldCharType="begin"/>
      </w:r>
      <w:r>
        <w:rPr>
          <w:rFonts w:hint="eastAsia" w:ascii="宋体" w:hAnsi="宋体"/>
          <w:sz w:val="24"/>
          <w:szCs w:val="24"/>
        </w:rPr>
        <w:instrText xml:space="preserve"> HYPERLINK "http://www.cqgp.gov.cn" </w:instrText>
      </w:r>
      <w:r>
        <w:rPr>
          <w:rFonts w:hint="eastAsia" w:ascii="宋体" w:hAnsi="宋体"/>
          <w:sz w:val="24"/>
          <w:szCs w:val="24"/>
        </w:rPr>
        <w:fldChar w:fldCharType="separate"/>
      </w:r>
      <w:r>
        <w:rPr>
          <w:rFonts w:hint="eastAsia" w:ascii="宋体" w:hAnsi="宋体"/>
        </w:rPr>
        <w:t>www.cq9yuan.com</w:t>
      </w:r>
      <w:r>
        <w:rPr>
          <w:rFonts w:hint="eastAsia" w:ascii="宋体" w:hAnsi="宋体"/>
          <w:sz w:val="24"/>
          <w:szCs w:val="24"/>
        </w:rPr>
        <w:fldChar w:fldCharType="end"/>
      </w:r>
      <w:r>
        <w:rPr>
          <w:rFonts w:hint="eastAsia" w:ascii="宋体" w:hAnsi="宋体"/>
          <w:sz w:val="24"/>
          <w:szCs w:val="24"/>
        </w:rPr>
        <w:t>）下载本项目磋商文件，无论供应商下载与否，均视为已知晓所有磋商内容。</w:t>
      </w:r>
    </w:p>
    <w:p>
      <w:pPr>
        <w:spacing w:line="460" w:lineRule="exact"/>
        <w:ind w:firstLine="480" w:firstLineChars="200"/>
        <w:rPr>
          <w:rFonts w:hint="eastAsia" w:ascii="宋体" w:hAnsi="宋体"/>
          <w:sz w:val="24"/>
          <w:szCs w:val="24"/>
        </w:rPr>
      </w:pPr>
      <w:r>
        <w:rPr>
          <w:rFonts w:hint="eastAsia" w:ascii="宋体" w:hAnsi="宋体"/>
          <w:sz w:val="24"/>
          <w:szCs w:val="24"/>
        </w:rPr>
        <w:t>1、报名时间：北京时间</w:t>
      </w:r>
      <w:r>
        <w:rPr>
          <w:rFonts w:hint="eastAsia" w:ascii="宋体" w:hAnsi="宋体"/>
          <w:color w:val="FF0000"/>
          <w:sz w:val="24"/>
          <w:szCs w:val="24"/>
        </w:rPr>
        <w:t xml:space="preserve"> 2021 年 </w:t>
      </w:r>
      <w:r>
        <w:rPr>
          <w:rFonts w:hint="eastAsia" w:ascii="宋体" w:hAnsi="宋体"/>
          <w:color w:val="FF0000"/>
          <w:sz w:val="24"/>
          <w:szCs w:val="24"/>
          <w:lang w:val="en-US" w:eastAsia="zh-CN"/>
        </w:rPr>
        <w:t>10</w:t>
      </w:r>
      <w:r>
        <w:rPr>
          <w:rFonts w:hint="eastAsia" w:ascii="宋体" w:hAnsi="宋体"/>
          <w:color w:val="FF0000"/>
          <w:sz w:val="24"/>
          <w:szCs w:val="24"/>
        </w:rPr>
        <w:t xml:space="preserve">月 </w:t>
      </w:r>
      <w:r>
        <w:rPr>
          <w:rFonts w:hint="eastAsia" w:ascii="宋体" w:hAnsi="宋体"/>
          <w:color w:val="FF0000"/>
          <w:sz w:val="24"/>
          <w:szCs w:val="24"/>
          <w:lang w:val="en-US" w:eastAsia="zh-CN"/>
        </w:rPr>
        <w:t>18</w:t>
      </w:r>
      <w:r>
        <w:rPr>
          <w:rFonts w:hint="eastAsia" w:ascii="宋体" w:hAnsi="宋体"/>
          <w:color w:val="FF0000"/>
          <w:sz w:val="24"/>
          <w:szCs w:val="24"/>
        </w:rPr>
        <w:t xml:space="preserve">日至 </w:t>
      </w:r>
      <w:r>
        <w:rPr>
          <w:rFonts w:hint="eastAsia" w:ascii="宋体" w:hAnsi="宋体"/>
          <w:color w:val="FF0000"/>
          <w:sz w:val="24"/>
          <w:szCs w:val="24"/>
          <w:lang w:val="en-US" w:eastAsia="zh-CN"/>
        </w:rPr>
        <w:t>10</w:t>
      </w:r>
      <w:r>
        <w:rPr>
          <w:rFonts w:hint="eastAsia" w:ascii="宋体" w:hAnsi="宋体"/>
          <w:color w:val="FF0000"/>
          <w:sz w:val="24"/>
          <w:szCs w:val="24"/>
        </w:rPr>
        <w:t>月</w:t>
      </w:r>
      <w:r>
        <w:rPr>
          <w:rFonts w:hint="eastAsia" w:ascii="宋体" w:hAnsi="宋体"/>
          <w:color w:val="FF0000"/>
          <w:sz w:val="24"/>
          <w:szCs w:val="24"/>
          <w:lang w:val="en-US" w:eastAsia="zh-CN"/>
        </w:rPr>
        <w:t>22</w:t>
      </w:r>
      <w:r>
        <w:rPr>
          <w:rFonts w:hint="eastAsia" w:ascii="宋体" w:hAnsi="宋体"/>
          <w:color w:val="FF0000"/>
          <w:sz w:val="24"/>
          <w:szCs w:val="24"/>
        </w:rPr>
        <w:t xml:space="preserve">日 17:00 </w:t>
      </w:r>
      <w:r>
        <w:rPr>
          <w:rFonts w:hint="eastAsia" w:ascii="宋体" w:hAnsi="宋体"/>
          <w:sz w:val="24"/>
          <w:szCs w:val="24"/>
        </w:rPr>
        <w:t>时前。</w:t>
      </w:r>
    </w:p>
    <w:p>
      <w:pPr>
        <w:spacing w:line="460" w:lineRule="exact"/>
        <w:ind w:firstLine="480" w:firstLineChars="200"/>
        <w:rPr>
          <w:rFonts w:hint="eastAsia" w:ascii="宋体" w:hAnsi="宋体"/>
          <w:sz w:val="24"/>
          <w:szCs w:val="24"/>
        </w:rPr>
      </w:pPr>
      <w:r>
        <w:rPr>
          <w:rFonts w:hint="eastAsia" w:ascii="宋体" w:hAnsi="宋体"/>
          <w:sz w:val="24"/>
          <w:szCs w:val="24"/>
        </w:rPr>
        <w:t>2、报名方式：在上述时段到重庆市第九人民医院外科综合楼M层信息科现场报名（地址：重庆市北碚区嘉陵村69号）。</w:t>
      </w:r>
    </w:p>
    <w:p>
      <w:pPr>
        <w:spacing w:line="460" w:lineRule="exact"/>
        <w:ind w:firstLine="480" w:firstLineChars="200"/>
        <w:rPr>
          <w:rFonts w:hint="eastAsia" w:ascii="宋体" w:hAnsi="宋体"/>
          <w:sz w:val="24"/>
          <w:szCs w:val="24"/>
        </w:rPr>
      </w:pPr>
      <w:r>
        <w:rPr>
          <w:rFonts w:hint="eastAsia" w:ascii="宋体" w:hAnsi="宋体"/>
          <w:sz w:val="24"/>
          <w:szCs w:val="24"/>
        </w:rPr>
        <w:t>3、报名要求：报名时，必须持投标单位营业执照复印件、经办人的法人授权委托书及本人身份证</w:t>
      </w:r>
      <w:r>
        <w:rPr>
          <w:rFonts w:hint="eastAsia" w:ascii="宋体" w:hAnsi="宋体"/>
          <w:sz w:val="24"/>
          <w:szCs w:val="24"/>
          <w:lang w:eastAsia="zh-CN"/>
        </w:rPr>
        <w:t>复印件</w:t>
      </w:r>
      <w:r>
        <w:rPr>
          <w:rFonts w:hint="eastAsia" w:ascii="宋体" w:hAnsi="宋体"/>
          <w:sz w:val="24"/>
          <w:szCs w:val="24"/>
        </w:rPr>
        <w:t>。</w:t>
      </w:r>
    </w:p>
    <w:p>
      <w:pPr>
        <w:pStyle w:val="4"/>
        <w:spacing w:before="120" w:beforeLines="50" w:line="276" w:lineRule="auto"/>
        <w:ind w:firstLine="482" w:firstLineChars="200"/>
        <w:rPr>
          <w:rFonts w:hint="eastAsia"/>
          <w:b/>
          <w:sz w:val="24"/>
        </w:rPr>
      </w:pPr>
      <w:bookmarkStart w:id="10" w:name="_Toc25721"/>
      <w:r>
        <w:rPr>
          <w:rFonts w:hint="eastAsia"/>
          <w:b/>
          <w:sz w:val="24"/>
        </w:rPr>
        <w:t>五、投标文件递交与磋商</w:t>
      </w:r>
      <w:bookmarkEnd w:id="10"/>
    </w:p>
    <w:p>
      <w:pPr>
        <w:spacing w:line="460" w:lineRule="exact"/>
        <w:ind w:firstLine="480" w:firstLineChars="200"/>
        <w:rPr>
          <w:rFonts w:hint="eastAsia" w:ascii="宋体" w:hAnsi="宋体"/>
          <w:sz w:val="24"/>
          <w:szCs w:val="24"/>
        </w:rPr>
      </w:pPr>
      <w:r>
        <w:rPr>
          <w:rFonts w:hint="eastAsia" w:ascii="宋体" w:hAnsi="宋体"/>
          <w:sz w:val="24"/>
          <w:szCs w:val="24"/>
        </w:rPr>
        <w:t>1、递交投标文件开始和截止时间：北京时间</w:t>
      </w:r>
      <w:r>
        <w:rPr>
          <w:rFonts w:hint="eastAsia" w:ascii="宋体" w:hAnsi="宋体"/>
          <w:color w:val="FF0000"/>
          <w:sz w:val="24"/>
          <w:szCs w:val="24"/>
        </w:rPr>
        <w:t>2021年</w:t>
      </w:r>
      <w:r>
        <w:rPr>
          <w:rFonts w:hint="eastAsia" w:ascii="宋体" w:hAnsi="宋体"/>
          <w:color w:val="FF0000"/>
          <w:sz w:val="24"/>
          <w:szCs w:val="24"/>
          <w:lang w:val="en-US" w:eastAsia="zh-CN"/>
        </w:rPr>
        <w:t>10</w:t>
      </w:r>
      <w:r>
        <w:rPr>
          <w:rFonts w:hint="eastAsia" w:ascii="宋体" w:hAnsi="宋体"/>
          <w:color w:val="FF0000"/>
          <w:sz w:val="24"/>
          <w:szCs w:val="24"/>
        </w:rPr>
        <w:t>月</w:t>
      </w:r>
      <w:r>
        <w:rPr>
          <w:rFonts w:hint="eastAsia" w:ascii="宋体" w:hAnsi="宋体"/>
          <w:color w:val="FF0000"/>
          <w:sz w:val="24"/>
          <w:szCs w:val="24"/>
          <w:lang w:val="en-US" w:eastAsia="zh-CN"/>
        </w:rPr>
        <w:t>28</w:t>
      </w:r>
      <w:r>
        <w:rPr>
          <w:rFonts w:hint="eastAsia" w:ascii="宋体" w:hAnsi="宋体"/>
          <w:color w:val="FF0000"/>
          <w:sz w:val="24"/>
          <w:szCs w:val="24"/>
        </w:rPr>
        <w:t xml:space="preserve">日上午 </w:t>
      </w:r>
      <w:r>
        <w:rPr>
          <w:rFonts w:hint="eastAsia" w:ascii="宋体" w:hAnsi="宋体"/>
          <w:color w:val="FF0000"/>
          <w:sz w:val="24"/>
          <w:szCs w:val="24"/>
          <w:lang w:val="en-US" w:eastAsia="zh-CN"/>
        </w:rPr>
        <w:t>9</w:t>
      </w:r>
      <w:r>
        <w:rPr>
          <w:rFonts w:hint="eastAsia" w:ascii="宋体" w:hAnsi="宋体"/>
          <w:color w:val="FF0000"/>
          <w:sz w:val="24"/>
          <w:szCs w:val="24"/>
        </w:rPr>
        <w:t>:</w:t>
      </w:r>
      <w:r>
        <w:rPr>
          <w:rFonts w:hint="eastAsia" w:ascii="宋体" w:hAnsi="宋体"/>
          <w:color w:val="FF0000"/>
          <w:sz w:val="24"/>
          <w:szCs w:val="24"/>
          <w:lang w:val="en-US" w:eastAsia="zh-CN"/>
        </w:rPr>
        <w:t>3</w:t>
      </w:r>
      <w:r>
        <w:rPr>
          <w:rFonts w:hint="eastAsia" w:ascii="宋体" w:hAnsi="宋体"/>
          <w:color w:val="FF0000"/>
          <w:sz w:val="24"/>
          <w:szCs w:val="24"/>
        </w:rPr>
        <w:t>0</w:t>
      </w:r>
      <w:r>
        <w:rPr>
          <w:rFonts w:ascii="宋体" w:hAnsi="宋体"/>
          <w:color w:val="FF0000"/>
          <w:sz w:val="24"/>
          <w:szCs w:val="24"/>
        </w:rPr>
        <w:t>—</w:t>
      </w:r>
      <w:r>
        <w:rPr>
          <w:rFonts w:hint="eastAsia" w:ascii="宋体" w:hAnsi="宋体"/>
          <w:color w:val="FF0000"/>
          <w:sz w:val="24"/>
          <w:szCs w:val="24"/>
          <w:lang w:val="en-US" w:eastAsia="zh-CN"/>
        </w:rPr>
        <w:t>10</w:t>
      </w:r>
      <w:r>
        <w:rPr>
          <w:rFonts w:hint="eastAsia" w:ascii="宋体" w:hAnsi="宋体"/>
          <w:color w:val="FF0000"/>
          <w:sz w:val="24"/>
          <w:szCs w:val="24"/>
        </w:rPr>
        <w:t>:</w:t>
      </w:r>
      <w:r>
        <w:rPr>
          <w:rFonts w:hint="eastAsia" w:ascii="宋体" w:hAnsi="宋体"/>
          <w:color w:val="FF0000"/>
          <w:sz w:val="24"/>
          <w:szCs w:val="24"/>
          <w:lang w:val="en-US" w:eastAsia="zh-CN"/>
        </w:rPr>
        <w:t>0</w:t>
      </w:r>
      <w:r>
        <w:rPr>
          <w:rFonts w:hint="eastAsia" w:ascii="宋体" w:hAnsi="宋体"/>
          <w:color w:val="FF0000"/>
          <w:sz w:val="24"/>
          <w:szCs w:val="24"/>
        </w:rPr>
        <w:t>0</w:t>
      </w:r>
      <w:r>
        <w:rPr>
          <w:rFonts w:hint="eastAsia" w:ascii="宋体" w:hAnsi="宋体"/>
          <w:sz w:val="24"/>
          <w:szCs w:val="24"/>
        </w:rPr>
        <w:t xml:space="preserve"> </w:t>
      </w:r>
    </w:p>
    <w:p>
      <w:pPr>
        <w:spacing w:line="460" w:lineRule="exact"/>
        <w:ind w:firstLine="480" w:firstLineChars="200"/>
        <w:rPr>
          <w:rFonts w:hint="eastAsia" w:ascii="宋体" w:hAnsi="宋体"/>
          <w:sz w:val="24"/>
          <w:szCs w:val="24"/>
        </w:rPr>
      </w:pPr>
      <w:r>
        <w:rPr>
          <w:rFonts w:hint="eastAsia" w:ascii="宋体" w:hAnsi="宋体"/>
          <w:sz w:val="24"/>
          <w:szCs w:val="24"/>
        </w:rPr>
        <w:t>2、磋商开始时间：北京时间</w:t>
      </w:r>
      <w:r>
        <w:rPr>
          <w:rFonts w:hint="eastAsia" w:ascii="宋体" w:hAnsi="宋体"/>
          <w:color w:val="FF0000"/>
          <w:sz w:val="24"/>
          <w:szCs w:val="24"/>
        </w:rPr>
        <w:t>2021年</w:t>
      </w:r>
      <w:r>
        <w:rPr>
          <w:rFonts w:hint="eastAsia" w:ascii="宋体" w:hAnsi="宋体"/>
          <w:color w:val="FF0000"/>
          <w:sz w:val="24"/>
          <w:szCs w:val="24"/>
          <w:lang w:val="en-US" w:eastAsia="zh-CN"/>
        </w:rPr>
        <w:t>10</w:t>
      </w:r>
      <w:r>
        <w:rPr>
          <w:rFonts w:hint="eastAsia" w:ascii="宋体" w:hAnsi="宋体"/>
          <w:color w:val="FF0000"/>
          <w:sz w:val="24"/>
          <w:szCs w:val="24"/>
        </w:rPr>
        <w:t>月</w:t>
      </w:r>
      <w:r>
        <w:rPr>
          <w:rFonts w:hint="eastAsia" w:ascii="宋体" w:hAnsi="宋体"/>
          <w:color w:val="FF0000"/>
          <w:sz w:val="24"/>
          <w:szCs w:val="24"/>
          <w:lang w:val="en-US" w:eastAsia="zh-CN"/>
        </w:rPr>
        <w:t>28</w:t>
      </w:r>
      <w:r>
        <w:rPr>
          <w:rFonts w:hint="eastAsia" w:ascii="宋体" w:hAnsi="宋体"/>
          <w:color w:val="FF0000"/>
          <w:sz w:val="24"/>
          <w:szCs w:val="24"/>
        </w:rPr>
        <w:t>日上午</w:t>
      </w:r>
      <w:r>
        <w:rPr>
          <w:rFonts w:hint="eastAsia" w:ascii="宋体" w:hAnsi="宋体"/>
          <w:color w:val="FF0000"/>
          <w:sz w:val="24"/>
          <w:szCs w:val="24"/>
          <w:lang w:val="en-US" w:eastAsia="zh-CN"/>
        </w:rPr>
        <w:t>10</w:t>
      </w:r>
      <w:r>
        <w:rPr>
          <w:rFonts w:hint="eastAsia" w:ascii="宋体" w:hAnsi="宋体"/>
          <w:color w:val="FF0000"/>
          <w:sz w:val="24"/>
          <w:szCs w:val="24"/>
        </w:rPr>
        <w:t>:</w:t>
      </w:r>
      <w:r>
        <w:rPr>
          <w:rFonts w:hint="eastAsia" w:ascii="宋体" w:hAnsi="宋体"/>
          <w:color w:val="FF0000"/>
          <w:sz w:val="24"/>
          <w:szCs w:val="24"/>
          <w:lang w:val="en-US" w:eastAsia="zh-CN"/>
        </w:rPr>
        <w:t>0</w:t>
      </w:r>
      <w:r>
        <w:rPr>
          <w:rFonts w:hint="eastAsia" w:ascii="宋体" w:hAnsi="宋体"/>
          <w:color w:val="FF0000"/>
          <w:sz w:val="24"/>
          <w:szCs w:val="24"/>
        </w:rPr>
        <w:t>0</w:t>
      </w:r>
      <w:r>
        <w:rPr>
          <w:rFonts w:hint="eastAsia" w:ascii="宋体" w:hAnsi="宋体"/>
          <w:sz w:val="24"/>
          <w:szCs w:val="24"/>
        </w:rPr>
        <w:t xml:space="preserve"> </w:t>
      </w:r>
    </w:p>
    <w:p>
      <w:pPr>
        <w:spacing w:line="460" w:lineRule="exact"/>
        <w:ind w:firstLine="480" w:firstLineChars="200"/>
        <w:rPr>
          <w:rFonts w:hint="eastAsia" w:ascii="宋体" w:hAnsi="宋体"/>
          <w:sz w:val="24"/>
          <w:szCs w:val="24"/>
        </w:rPr>
      </w:pPr>
      <w:r>
        <w:rPr>
          <w:rFonts w:hint="eastAsia" w:ascii="宋体" w:hAnsi="宋体"/>
          <w:sz w:val="24"/>
          <w:szCs w:val="24"/>
        </w:rPr>
        <w:t>注：文件递交和磋商地址：重庆市第九人民医院外科综合楼M层信息科会议室</w:t>
      </w:r>
    </w:p>
    <w:p>
      <w:pPr>
        <w:spacing w:line="276" w:lineRule="auto"/>
        <w:ind w:firstLine="480" w:firstLineChars="200"/>
        <w:rPr>
          <w:rFonts w:hint="eastAsia" w:ascii="宋体" w:hAnsi="宋体"/>
          <w:sz w:val="24"/>
          <w:szCs w:val="24"/>
        </w:rPr>
      </w:pPr>
    </w:p>
    <w:p>
      <w:pPr>
        <w:pStyle w:val="2"/>
        <w:rPr>
          <w:rFonts w:hint="eastAsia"/>
        </w:rPr>
      </w:pPr>
    </w:p>
    <w:p>
      <w:pPr>
        <w:spacing w:line="460" w:lineRule="exact"/>
        <w:ind w:firstLine="560" w:firstLineChars="200"/>
        <w:rPr>
          <w:rFonts w:hint="eastAsia" w:cs="宋体"/>
          <w:szCs w:val="28"/>
        </w:rPr>
      </w:pPr>
    </w:p>
    <w:p>
      <w:pPr>
        <w:pStyle w:val="4"/>
        <w:spacing w:before="120" w:beforeLines="50" w:line="276" w:lineRule="auto"/>
        <w:ind w:firstLine="482" w:firstLineChars="200"/>
        <w:rPr>
          <w:rFonts w:hint="eastAsia"/>
          <w:b/>
          <w:sz w:val="24"/>
        </w:rPr>
      </w:pPr>
      <w:bookmarkStart w:id="11" w:name="_Toc20131"/>
      <w:bookmarkStart w:id="12" w:name="_Toc5940"/>
      <w:bookmarkStart w:id="13" w:name="_Toc30947"/>
      <w:bookmarkStart w:id="14" w:name="_Toc17937"/>
      <w:bookmarkStart w:id="15" w:name="_Toc69482339"/>
      <w:bookmarkStart w:id="16" w:name="_Toc10309"/>
      <w:bookmarkStart w:id="17" w:name="_Toc532"/>
      <w:bookmarkStart w:id="18" w:name="_Toc1714"/>
      <w:bookmarkStart w:id="19" w:name="_Toc4185"/>
      <w:bookmarkStart w:id="20" w:name="_Toc32524"/>
      <w:r>
        <w:rPr>
          <w:rFonts w:hint="eastAsia"/>
          <w:b/>
          <w:sz w:val="24"/>
        </w:rPr>
        <w:t>六、采购人联系方式</w:t>
      </w:r>
      <w:bookmarkEnd w:id="11"/>
      <w:bookmarkEnd w:id="12"/>
      <w:bookmarkEnd w:id="13"/>
      <w:bookmarkEnd w:id="14"/>
      <w:bookmarkEnd w:id="15"/>
      <w:bookmarkEnd w:id="16"/>
      <w:bookmarkEnd w:id="17"/>
      <w:bookmarkEnd w:id="18"/>
      <w:bookmarkEnd w:id="19"/>
      <w:bookmarkEnd w:id="20"/>
    </w:p>
    <w:p>
      <w:pPr>
        <w:snapToGrid w:val="0"/>
        <w:spacing w:line="276" w:lineRule="auto"/>
        <w:ind w:firstLine="480" w:firstLineChars="200"/>
        <w:rPr>
          <w:rFonts w:hint="eastAsia" w:ascii="宋体" w:hAnsi="宋体"/>
          <w:sz w:val="24"/>
          <w:szCs w:val="24"/>
        </w:rPr>
      </w:pPr>
      <w:r>
        <w:rPr>
          <w:rFonts w:hint="eastAsia" w:ascii="宋体" w:hAnsi="宋体"/>
          <w:sz w:val="24"/>
          <w:szCs w:val="24"/>
        </w:rPr>
        <w:t>联系人： 李老师、杨老师；  联系电话：023-68209934</w:t>
      </w:r>
    </w:p>
    <w:p>
      <w:pPr>
        <w:pStyle w:val="4"/>
        <w:spacing w:before="120" w:beforeLines="50" w:line="276" w:lineRule="auto"/>
        <w:ind w:firstLine="482" w:firstLineChars="200"/>
        <w:rPr>
          <w:rFonts w:hint="eastAsia"/>
          <w:b/>
          <w:sz w:val="24"/>
        </w:rPr>
      </w:pPr>
      <w:bookmarkStart w:id="21" w:name="_Toc441065657"/>
      <w:bookmarkStart w:id="22" w:name="_Toc23726"/>
      <w:r>
        <w:rPr>
          <w:rFonts w:hint="eastAsia"/>
          <w:b/>
          <w:sz w:val="24"/>
        </w:rPr>
        <w:t>七、磋商保证金</w:t>
      </w:r>
      <w:bookmarkEnd w:id="21"/>
      <w:bookmarkEnd w:id="22"/>
    </w:p>
    <w:p>
      <w:pPr>
        <w:snapToGrid w:val="0"/>
        <w:spacing w:line="276" w:lineRule="auto"/>
        <w:ind w:firstLine="480" w:firstLineChars="200"/>
        <w:rPr>
          <w:rFonts w:hint="eastAsia" w:ascii="宋体" w:hAnsi="宋体"/>
          <w:b/>
          <w:bCs/>
          <w:sz w:val="24"/>
          <w:szCs w:val="24"/>
        </w:rPr>
      </w:pPr>
      <w:r>
        <w:rPr>
          <w:rFonts w:hint="eastAsia" w:ascii="宋体" w:hAnsi="宋体"/>
          <w:sz w:val="24"/>
          <w:szCs w:val="24"/>
        </w:rPr>
        <w:t>1、供应商应足额交纳磋商保证金（保证金金额详见本篇，一、招标项目内容），并汇至以下账户，磋商保证金的到账截止时间同响应文件提交截止时间。</w:t>
      </w:r>
      <w:r>
        <w:rPr>
          <w:rFonts w:hint="eastAsia" w:ascii="宋体" w:hAnsi="宋体"/>
          <w:b/>
          <w:bCs/>
          <w:sz w:val="24"/>
          <w:szCs w:val="24"/>
        </w:rPr>
        <w:t>（请各潜在供应商在缴纳投标保证金时一定按要求打款至以下指定账户，否则会导致投标无效）</w:t>
      </w:r>
    </w:p>
    <w:p>
      <w:pPr>
        <w:snapToGrid w:val="0"/>
        <w:spacing w:line="276" w:lineRule="auto"/>
        <w:ind w:firstLine="480" w:firstLineChars="200"/>
        <w:rPr>
          <w:rFonts w:hint="eastAsia" w:ascii="宋体" w:hAnsi="宋体"/>
          <w:sz w:val="24"/>
          <w:szCs w:val="24"/>
        </w:rPr>
      </w:pPr>
      <w:r>
        <w:rPr>
          <w:rFonts w:hint="eastAsia" w:ascii="宋体" w:hAnsi="宋体"/>
          <w:sz w:val="24"/>
          <w:szCs w:val="24"/>
        </w:rPr>
        <w:t>磋商保证金账户：</w:t>
      </w:r>
    </w:p>
    <w:p>
      <w:pPr>
        <w:snapToGrid w:val="0"/>
        <w:spacing w:line="276" w:lineRule="auto"/>
        <w:ind w:firstLine="480" w:firstLineChars="200"/>
        <w:rPr>
          <w:rFonts w:hint="eastAsia" w:ascii="宋体" w:hAnsi="宋体"/>
          <w:sz w:val="24"/>
          <w:szCs w:val="24"/>
        </w:rPr>
      </w:pPr>
      <w:r>
        <w:rPr>
          <w:rFonts w:hint="eastAsia" w:ascii="宋体" w:hAnsi="宋体"/>
          <w:sz w:val="24"/>
          <w:szCs w:val="24"/>
        </w:rPr>
        <w:t>户  名：重庆市第九人民医院</w:t>
      </w:r>
    </w:p>
    <w:tbl>
      <w:tblPr>
        <w:tblStyle w:val="58"/>
        <w:tblW w:w="7893" w:type="dxa"/>
        <w:tblInd w:w="-6" w:type="dxa"/>
        <w:tblLayout w:type="fixed"/>
        <w:tblCellMar>
          <w:top w:w="0" w:type="dxa"/>
          <w:left w:w="0" w:type="dxa"/>
          <w:bottom w:w="0" w:type="dxa"/>
          <w:right w:w="0" w:type="dxa"/>
        </w:tblCellMar>
      </w:tblPr>
      <w:tblGrid>
        <w:gridCol w:w="2075"/>
        <w:gridCol w:w="5818"/>
      </w:tblGrid>
      <w:tr>
        <w:trPr>
          <w:trHeight w:val="444" w:hRule="exact"/>
        </w:trPr>
        <w:tc>
          <w:tcPr>
            <w:tcW w:w="2075"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76" w:lineRule="auto"/>
              <w:jc w:val="center"/>
              <w:rPr>
                <w:rFonts w:hint="eastAsia" w:ascii="宋体" w:hAnsi="宋体" w:cs="宋体"/>
                <w:spacing w:val="-2"/>
                <w:sz w:val="21"/>
                <w:szCs w:val="21"/>
              </w:rPr>
            </w:pPr>
            <w:r>
              <w:rPr>
                <w:rFonts w:hint="eastAsia" w:ascii="宋体" w:hAnsi="宋体" w:cs="宋体"/>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76" w:lineRule="auto"/>
              <w:jc w:val="center"/>
              <w:rPr>
                <w:rFonts w:hint="eastAsia" w:ascii="宋体" w:hAnsi="宋体" w:cs="宋体"/>
                <w:spacing w:val="-2"/>
                <w:sz w:val="21"/>
                <w:szCs w:val="21"/>
              </w:rPr>
            </w:pPr>
            <w:r>
              <w:rPr>
                <w:rFonts w:hint="eastAsia" w:ascii="宋体" w:hAnsi="宋体" w:cs="宋体"/>
                <w:spacing w:val="-2"/>
                <w:sz w:val="21"/>
                <w:szCs w:val="21"/>
              </w:rPr>
              <w:t>建行北碚支行</w:t>
            </w:r>
          </w:p>
        </w:tc>
      </w:tr>
      <w:tr>
        <w:tblPrEx>
          <w:tblCellMar>
            <w:top w:w="0" w:type="dxa"/>
            <w:left w:w="0" w:type="dxa"/>
            <w:bottom w:w="0" w:type="dxa"/>
            <w:right w:w="0" w:type="dxa"/>
          </w:tblCellMar>
        </w:tblPrEx>
        <w:trPr>
          <w:trHeight w:val="459" w:hRule="exact"/>
        </w:trPr>
        <w:tc>
          <w:tcPr>
            <w:tcW w:w="2075"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76" w:lineRule="auto"/>
              <w:jc w:val="center"/>
              <w:rPr>
                <w:rFonts w:hint="eastAsia" w:ascii="宋体" w:hAnsi="宋体" w:cs="宋体"/>
                <w:spacing w:val="-2"/>
                <w:sz w:val="21"/>
                <w:szCs w:val="21"/>
              </w:rPr>
            </w:pPr>
            <w:r>
              <w:rPr>
                <w:rFonts w:hint="eastAsia" w:ascii="宋体" w:hAnsi="宋体" w:cs="宋体"/>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76" w:lineRule="auto"/>
              <w:jc w:val="center"/>
              <w:rPr>
                <w:rFonts w:hint="eastAsia" w:ascii="宋体" w:hAnsi="宋体" w:cs="宋体"/>
                <w:spacing w:val="-2"/>
                <w:sz w:val="21"/>
                <w:szCs w:val="21"/>
              </w:rPr>
            </w:pPr>
            <w:r>
              <w:rPr>
                <w:rFonts w:hint="eastAsia" w:cs="宋体"/>
                <w:sz w:val="24"/>
              </w:rPr>
              <w:t>5000 1093 6000 5001 2527</w:t>
            </w:r>
          </w:p>
        </w:tc>
      </w:tr>
    </w:tbl>
    <w:p>
      <w:pPr>
        <w:numPr>
          <w:ilvl w:val="0"/>
          <w:numId w:val="17"/>
        </w:numPr>
        <w:snapToGrid w:val="0"/>
        <w:spacing w:line="276" w:lineRule="auto"/>
        <w:ind w:firstLine="480" w:firstLineChars="200"/>
        <w:rPr>
          <w:rFonts w:hint="eastAsia" w:ascii="宋体" w:hAnsi="宋体"/>
          <w:sz w:val="24"/>
          <w:szCs w:val="24"/>
        </w:rPr>
      </w:pPr>
      <w:r>
        <w:rPr>
          <w:rFonts w:hint="eastAsia" w:ascii="宋体" w:hAnsi="宋体"/>
          <w:sz w:val="24"/>
          <w:szCs w:val="24"/>
        </w:rPr>
        <w:t>供应商在递交保证金时，应在付款凭证备注栏中注明项目名称（项目名称</w:t>
      </w:r>
      <w:r>
        <w:rPr>
          <w:rFonts w:hint="eastAsia" w:ascii="宋体" w:hAnsi="宋体"/>
          <w:color w:val="FF0000"/>
          <w:sz w:val="24"/>
          <w:szCs w:val="24"/>
        </w:rPr>
        <w:t>：</w:t>
      </w:r>
      <w:r>
        <w:rPr>
          <w:rFonts w:hint="eastAsia" w:ascii="宋体" w:hAnsi="宋体"/>
          <w:color w:val="FF0000"/>
          <w:sz w:val="24"/>
          <w:szCs w:val="24"/>
          <w:u w:val="single"/>
          <w:lang w:val="en-US" w:eastAsia="zh-CN"/>
        </w:rPr>
        <w:t>互联网+慢性肾脏病管理系统</w:t>
      </w:r>
      <w:r>
        <w:rPr>
          <w:rFonts w:hint="eastAsia" w:ascii="宋体" w:hAnsi="宋体"/>
          <w:color w:val="FF0000"/>
          <w:sz w:val="24"/>
          <w:szCs w:val="24"/>
          <w:u w:val="single"/>
        </w:rPr>
        <w:t xml:space="preserve"> </w:t>
      </w:r>
      <w:r>
        <w:rPr>
          <w:rFonts w:hint="eastAsia" w:ascii="宋体" w:hAnsi="宋体"/>
          <w:color w:val="FF0000"/>
          <w:sz w:val="24"/>
          <w:szCs w:val="24"/>
        </w:rPr>
        <w:t>，可以简写为：</w:t>
      </w:r>
      <w:r>
        <w:rPr>
          <w:rFonts w:hint="eastAsia" w:ascii="宋体" w:hAnsi="宋体"/>
          <w:color w:val="FF0000"/>
          <w:sz w:val="24"/>
          <w:szCs w:val="24"/>
          <w:u w:val="single"/>
          <w:lang w:val="en-US" w:eastAsia="zh-CN"/>
        </w:rPr>
        <w:t>慢性肾脏病管理系统</w:t>
      </w:r>
      <w:r>
        <w:rPr>
          <w:rFonts w:hint="eastAsia" w:ascii="宋体" w:hAnsi="宋体"/>
          <w:sz w:val="24"/>
          <w:szCs w:val="24"/>
        </w:rPr>
        <w:t>），</w:t>
      </w:r>
      <w:r>
        <w:rPr>
          <w:rFonts w:hint="eastAsia" w:ascii="宋体" w:hAnsi="宋体"/>
          <w:b/>
          <w:bCs/>
          <w:sz w:val="24"/>
          <w:szCs w:val="24"/>
        </w:rPr>
        <w:t>到款账户为上述指定的保证金专用账户，</w:t>
      </w:r>
      <w:r>
        <w:rPr>
          <w:rFonts w:hint="eastAsia" w:ascii="宋体" w:hAnsi="宋体"/>
          <w:sz w:val="24"/>
          <w:szCs w:val="24"/>
        </w:rPr>
        <w:t>来款账户必须与参与磋商的供应商名称一致。</w:t>
      </w:r>
    </w:p>
    <w:p>
      <w:pPr>
        <w:numPr>
          <w:ilvl w:val="0"/>
          <w:numId w:val="17"/>
        </w:numPr>
        <w:snapToGrid w:val="0"/>
        <w:spacing w:line="276" w:lineRule="auto"/>
        <w:ind w:firstLine="480" w:firstLineChars="200"/>
        <w:rPr>
          <w:rFonts w:hint="eastAsia" w:ascii="宋体" w:hAnsi="宋体"/>
          <w:sz w:val="24"/>
          <w:szCs w:val="24"/>
        </w:rPr>
      </w:pPr>
      <w:r>
        <w:rPr>
          <w:rFonts w:hint="eastAsia" w:ascii="宋体" w:hAnsi="宋体"/>
          <w:sz w:val="24"/>
          <w:szCs w:val="24"/>
        </w:rPr>
        <w:t>参与磋商的供应商在银行转账（电汇）时，须充分考虑银行转账（电汇）的时间差风险，如同城转账、异地转账或汇款、跨行转账或电汇的时间要求。如因时间差等原因导致在磋商保证金到账截止时间内，无法查实磋商保证金是否到账的，将视为无效投标，该后果由供应商自行承担。（供应商参与磋商时应手持磋商保证金付款凭证以备查验）</w:t>
      </w:r>
    </w:p>
    <w:p>
      <w:pPr>
        <w:snapToGrid w:val="0"/>
        <w:spacing w:line="276" w:lineRule="auto"/>
        <w:ind w:firstLine="480" w:firstLineChars="200"/>
        <w:rPr>
          <w:rFonts w:hint="eastAsia" w:ascii="宋体" w:hAnsi="宋体"/>
          <w:sz w:val="24"/>
          <w:szCs w:val="24"/>
        </w:rPr>
      </w:pPr>
      <w:r>
        <w:rPr>
          <w:rFonts w:hint="eastAsia" w:ascii="宋体" w:hAnsi="宋体"/>
          <w:sz w:val="24"/>
          <w:szCs w:val="24"/>
        </w:rPr>
        <w:t>4、如本次采购终止，在本次磋商中缴纳保证金的供应商，若参加本项目下一次采购需要重新缴纳保证金，本次的磋商保证金会按照相关程序进行退还。</w:t>
      </w:r>
    </w:p>
    <w:p>
      <w:pPr>
        <w:snapToGrid w:val="0"/>
        <w:spacing w:line="276" w:lineRule="auto"/>
        <w:ind w:firstLine="480" w:firstLineChars="200"/>
        <w:rPr>
          <w:rFonts w:hint="eastAsia" w:ascii="宋体" w:hAnsi="宋体"/>
          <w:sz w:val="24"/>
          <w:szCs w:val="24"/>
        </w:rPr>
      </w:pPr>
      <w:r>
        <w:rPr>
          <w:rFonts w:hint="eastAsia" w:ascii="宋体" w:hAnsi="宋体"/>
          <w:sz w:val="24"/>
          <w:szCs w:val="24"/>
        </w:rPr>
        <w:t>5、保证金退还方式</w:t>
      </w:r>
    </w:p>
    <w:p>
      <w:pPr>
        <w:snapToGrid w:val="0"/>
        <w:spacing w:line="276" w:lineRule="auto"/>
        <w:ind w:firstLine="480" w:firstLineChars="200"/>
        <w:rPr>
          <w:rFonts w:hint="eastAsia" w:ascii="宋体" w:hAnsi="宋体"/>
          <w:sz w:val="24"/>
          <w:szCs w:val="24"/>
        </w:rPr>
      </w:pPr>
      <w:r>
        <w:rPr>
          <w:rFonts w:hint="eastAsia" w:ascii="宋体" w:hAnsi="宋体"/>
          <w:sz w:val="24"/>
          <w:szCs w:val="24"/>
        </w:rPr>
        <w:t>（1）未成交供应商的保证金，在成交通知书发放后，采购人在五个工作日内按来款渠道直接退还。</w:t>
      </w:r>
    </w:p>
    <w:p>
      <w:pPr>
        <w:snapToGrid w:val="0"/>
        <w:spacing w:line="276" w:lineRule="auto"/>
        <w:ind w:firstLine="480" w:firstLineChars="200"/>
        <w:rPr>
          <w:rFonts w:hint="eastAsia" w:ascii="宋体" w:hAnsi="宋体"/>
          <w:sz w:val="24"/>
          <w:szCs w:val="24"/>
        </w:rPr>
      </w:pPr>
      <w:r>
        <w:rPr>
          <w:rFonts w:hint="eastAsia" w:ascii="宋体" w:hAnsi="宋体"/>
          <w:sz w:val="24"/>
          <w:szCs w:val="24"/>
        </w:rPr>
        <w:t>（2）成交供应商的保证金，在成交供应商与采购人签订合同后，采购人在五个工作日内按资金来款渠道直接退还。</w:t>
      </w:r>
    </w:p>
    <w:p>
      <w:pPr>
        <w:snapToGrid w:val="0"/>
        <w:spacing w:line="276" w:lineRule="auto"/>
        <w:ind w:firstLine="480" w:firstLineChars="200"/>
        <w:rPr>
          <w:rFonts w:hint="eastAsia" w:ascii="宋体" w:hAnsi="宋体"/>
        </w:rPr>
      </w:pPr>
      <w:r>
        <w:rPr>
          <w:rFonts w:hint="eastAsia" w:ascii="宋体" w:hAnsi="宋体"/>
          <w:sz w:val="24"/>
          <w:szCs w:val="24"/>
        </w:rPr>
        <w:t>6、保证金查询电话：023-68203422</w:t>
      </w:r>
    </w:p>
    <w:p>
      <w:pPr>
        <w:pStyle w:val="4"/>
        <w:spacing w:before="120" w:beforeLines="50" w:line="276" w:lineRule="auto"/>
        <w:ind w:firstLine="482" w:firstLineChars="200"/>
        <w:rPr>
          <w:rFonts w:hint="eastAsia"/>
          <w:b/>
          <w:sz w:val="24"/>
        </w:rPr>
      </w:pPr>
      <w:bookmarkStart w:id="23" w:name="_Toc25892"/>
      <w:r>
        <w:rPr>
          <w:rFonts w:hint="eastAsia"/>
          <w:b/>
          <w:sz w:val="24"/>
        </w:rPr>
        <w:t>八、采购项目需落实的政府采购政策</w:t>
      </w:r>
      <w:bookmarkEnd w:id="23"/>
    </w:p>
    <w:p>
      <w:pPr>
        <w:snapToGrid w:val="0"/>
        <w:spacing w:line="276" w:lineRule="auto"/>
        <w:ind w:firstLine="480" w:firstLineChars="200"/>
        <w:rPr>
          <w:rFonts w:hint="eastAsia" w:ascii="宋体" w:hAnsi="宋体"/>
          <w:sz w:val="24"/>
          <w:szCs w:val="24"/>
        </w:rPr>
      </w:pPr>
      <w:r>
        <w:rPr>
          <w:rFonts w:hint="eastAsia" w:ascii="宋体" w:hAnsi="宋体"/>
          <w:sz w:val="24"/>
          <w:szCs w:val="24"/>
        </w:rPr>
        <w:t>（一）《财政部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（二）按照《财政部 工业和信息化部关于印发&lt;政府采购促进中小企业发展暂行办法&gt;的通知》（财库〔2011〕181号）的规定，落实促进中小企业发展政策。</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（三）按照《财政部、司法部关于政府采购支持监狱企业发展有关问题的通知》（财库〔2014〕68号）的规定，落实支持监狱企业发展政策。</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（四）按照《三部门联合发布关于促进残疾人就业政府采购政策的通知》（财库〔2017〕 141号）的规定，落实支持残疾人福利性单位发展政策。</w:t>
      </w:r>
    </w:p>
    <w:p>
      <w:pPr>
        <w:pStyle w:val="4"/>
        <w:spacing w:line="276" w:lineRule="auto"/>
        <w:ind w:firstLine="482" w:firstLineChars="200"/>
        <w:rPr>
          <w:rFonts w:hint="eastAsia"/>
          <w:b/>
          <w:sz w:val="24"/>
        </w:rPr>
      </w:pPr>
      <w:bookmarkStart w:id="24" w:name="_Toc441065658"/>
      <w:bookmarkStart w:id="25" w:name="_Toc11100"/>
      <w:r>
        <w:rPr>
          <w:rFonts w:hint="eastAsia"/>
          <w:b/>
          <w:sz w:val="24"/>
        </w:rPr>
        <w:t>九、磋商有关规定</w:t>
      </w:r>
      <w:bookmarkEnd w:id="24"/>
      <w:bookmarkEnd w:id="25"/>
    </w:p>
    <w:p>
      <w:pPr>
        <w:snapToGrid w:val="0"/>
        <w:spacing w:line="276" w:lineRule="auto"/>
        <w:ind w:firstLine="480" w:firstLineChars="200"/>
        <w:rPr>
          <w:rFonts w:hint="eastAsia" w:ascii="宋体" w:hAnsi="宋体"/>
          <w:sz w:val="24"/>
          <w:szCs w:val="24"/>
        </w:rPr>
      </w:pPr>
      <w:r>
        <w:rPr>
          <w:rFonts w:hint="eastAsia" w:ascii="宋体" w:hAnsi="宋体"/>
          <w:sz w:val="24"/>
          <w:szCs w:val="24"/>
        </w:rPr>
        <w:t>（一）单位负责人为同一人或者存在直接控股、管理关系的不同供应商，不得参加同一合同项（分包）下的采购活动。</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（三）本项目的补遗文件（如果有）一律在重庆市第九人民医院官方网站（www.cq9yuan.com）上发布，请各供应商注意下载；无论供应商下载与否，均视同供应商已知晓本项目补遗文件的内容。</w:t>
      </w:r>
    </w:p>
    <w:p>
      <w:pPr>
        <w:spacing w:line="276" w:lineRule="auto"/>
        <w:ind w:firstLine="480" w:firstLineChars="200"/>
        <w:rPr>
          <w:rFonts w:hint="eastAsia" w:ascii="宋体" w:hAnsi="宋体"/>
          <w:sz w:val="24"/>
          <w:szCs w:val="24"/>
        </w:rPr>
      </w:pPr>
      <w:r>
        <w:rPr>
          <w:rFonts w:hint="eastAsia" w:ascii="宋体" w:hAnsi="宋体"/>
          <w:sz w:val="24"/>
          <w:szCs w:val="24"/>
        </w:rPr>
        <w:t>（五）供应商须满足以下三种要件，其响应文件才被接受：</w:t>
      </w:r>
    </w:p>
    <w:p>
      <w:pPr>
        <w:spacing w:line="276" w:lineRule="auto"/>
        <w:ind w:firstLine="480" w:firstLineChars="200"/>
        <w:rPr>
          <w:rFonts w:hint="eastAsia" w:ascii="宋体" w:hAnsi="宋体"/>
          <w:sz w:val="24"/>
          <w:szCs w:val="24"/>
        </w:rPr>
      </w:pPr>
      <w:r>
        <w:rPr>
          <w:rFonts w:hint="eastAsia" w:ascii="宋体" w:hAnsi="宋体"/>
          <w:sz w:val="24"/>
          <w:szCs w:val="24"/>
        </w:rPr>
        <w:t>1、响应文件提交截止时间前按时签到；</w:t>
      </w:r>
    </w:p>
    <w:p>
      <w:pPr>
        <w:spacing w:line="276" w:lineRule="auto"/>
        <w:ind w:firstLine="480" w:firstLineChars="200"/>
        <w:rPr>
          <w:rFonts w:hint="eastAsia" w:ascii="宋体" w:hAnsi="宋体"/>
          <w:sz w:val="24"/>
          <w:szCs w:val="24"/>
        </w:rPr>
      </w:pPr>
      <w:r>
        <w:rPr>
          <w:rFonts w:hint="eastAsia" w:ascii="宋体" w:hAnsi="宋体"/>
          <w:sz w:val="24"/>
          <w:szCs w:val="24"/>
        </w:rPr>
        <w:t>2、响应文件提交截止时间前完成了响应文件的递交；</w:t>
      </w:r>
    </w:p>
    <w:p>
      <w:pPr>
        <w:spacing w:line="276" w:lineRule="auto"/>
        <w:ind w:firstLine="480" w:firstLineChars="200"/>
        <w:rPr>
          <w:rFonts w:hint="eastAsia" w:ascii="宋体" w:hAnsi="宋体"/>
          <w:sz w:val="24"/>
          <w:szCs w:val="24"/>
        </w:rPr>
      </w:pPr>
      <w:r>
        <w:rPr>
          <w:rFonts w:hint="eastAsia" w:ascii="宋体" w:hAnsi="宋体"/>
          <w:sz w:val="24"/>
          <w:szCs w:val="24"/>
        </w:rPr>
        <w:t>3、提交响应文件截止时间前缴纳（采购人收到款项时间为准）磋商保证金。</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（六）磋商费用：无论磋商结果如何，供应商参与本项目的所有费用均应由供应商自行承担。</w:t>
      </w:r>
    </w:p>
    <w:p>
      <w:pPr>
        <w:pStyle w:val="3"/>
        <w:spacing w:before="0" w:beforeLines="0" w:after="0" w:afterLines="0" w:line="276" w:lineRule="auto"/>
        <w:rPr>
          <w:rFonts w:hint="eastAsia" w:ascii="宋体" w:hAnsi="宋体" w:eastAsia="宋体"/>
        </w:rPr>
      </w:pPr>
      <w:bookmarkStart w:id="26" w:name="_Toc441065660"/>
      <w:r>
        <w:rPr>
          <w:rFonts w:ascii="宋体" w:hAnsi="宋体" w:eastAsia="宋体"/>
        </w:rPr>
        <w:br w:type="page"/>
      </w:r>
      <w:bookmarkStart w:id="27" w:name="_Toc11996"/>
      <w:r>
        <w:rPr>
          <w:rFonts w:hint="eastAsia" w:ascii="宋体" w:hAnsi="宋体" w:eastAsia="宋体"/>
        </w:rPr>
        <w:t>第二篇 项目具体要求</w:t>
      </w:r>
      <w:bookmarkEnd w:id="26"/>
      <w:bookmarkEnd w:id="27"/>
      <w:bookmarkStart w:id="28" w:name="_Toc441065661"/>
    </w:p>
    <w:bookmarkEnd w:id="28"/>
    <w:p>
      <w:pPr>
        <w:pStyle w:val="221"/>
        <w:adjustRightInd w:val="0"/>
        <w:snapToGrid w:val="0"/>
        <w:spacing w:before="0" w:line="276" w:lineRule="auto"/>
        <w:ind w:firstLine="480" w:firstLineChars="200"/>
        <w:rPr>
          <w:rFonts w:hint="eastAsia" w:ascii="宋体" w:hAnsi="宋体" w:eastAsia="宋体"/>
        </w:rPr>
      </w:pPr>
    </w:p>
    <w:p>
      <w:pPr>
        <w:pStyle w:val="4"/>
        <w:spacing w:line="276" w:lineRule="auto"/>
        <w:jc w:val="center"/>
        <w:rPr>
          <w:rFonts w:hint="eastAsia"/>
          <w:b/>
          <w:sz w:val="32"/>
          <w:szCs w:val="22"/>
        </w:rPr>
      </w:pPr>
      <w:bookmarkStart w:id="29" w:name="_Toc791"/>
      <w:r>
        <w:rPr>
          <w:rFonts w:hint="eastAsia"/>
          <w:b/>
          <w:sz w:val="32"/>
          <w:szCs w:val="22"/>
        </w:rPr>
        <w:t>第一部分 技术要求</w:t>
      </w:r>
      <w:bookmarkEnd w:id="29"/>
    </w:p>
    <w:p>
      <w:pPr>
        <w:pStyle w:val="26"/>
        <w:ind w:left="0" w:leftChars="0" w:firstLine="0" w:firstLineChars="0"/>
        <w:rPr>
          <w:rFonts w:hint="default" w:ascii="宋体" w:hAnsi="宋体" w:eastAsia="宋体" w:cs="宋体"/>
          <w:b/>
          <w:kern w:val="44"/>
          <w:sz w:val="28"/>
          <w:szCs w:val="28"/>
          <w:lang w:val="en-US" w:eastAsia="zh-CN"/>
        </w:rPr>
      </w:pPr>
    </w:p>
    <w:p>
      <w:pPr>
        <w:pStyle w:val="26"/>
        <w:ind w:left="0" w:leftChars="0" w:firstLine="0" w:firstLineChars="0"/>
        <w:rPr>
          <w:rFonts w:hint="eastAsia" w:ascii="宋体" w:hAnsi="宋体" w:eastAsia="宋体" w:cs="宋体"/>
          <w:b w:val="0"/>
          <w:bCs/>
          <w:kern w:val="44"/>
          <w:sz w:val="28"/>
          <w:szCs w:val="28"/>
          <w:lang w:val="en-US" w:eastAsia="zh-CN"/>
        </w:rPr>
      </w:pPr>
      <w:r>
        <w:rPr>
          <w:rFonts w:hint="eastAsia" w:ascii="宋体" w:hAnsi="宋体" w:cs="宋体"/>
          <w:b w:val="0"/>
          <w:bCs/>
          <w:kern w:val="44"/>
          <w:sz w:val="28"/>
          <w:szCs w:val="28"/>
          <w:lang w:val="en-US" w:eastAsia="zh-CN"/>
        </w:rPr>
        <w:t>本项目采购一套基于互联网应</w:t>
      </w:r>
      <w:bookmarkStart w:id="72" w:name="_GoBack"/>
      <w:bookmarkEnd w:id="72"/>
      <w:r>
        <w:rPr>
          <w:rFonts w:hint="eastAsia" w:ascii="宋体" w:hAnsi="宋体" w:cs="宋体"/>
          <w:b w:val="0"/>
          <w:bCs/>
          <w:kern w:val="44"/>
          <w:sz w:val="28"/>
          <w:szCs w:val="28"/>
          <w:lang w:val="en-US" w:eastAsia="zh-CN"/>
        </w:rPr>
        <w:t>用的慢性肾病管理系统，主要功能如下：</w:t>
      </w:r>
    </w:p>
    <w:p>
      <w:pPr>
        <w:pStyle w:val="5"/>
        <w:spacing w:before="120" w:after="0" w:line="360" w:lineRule="auto"/>
        <w:jc w:val="left"/>
        <w:rPr>
          <w:rFonts w:hint="eastAsia"/>
        </w:rPr>
      </w:pPr>
      <w:r>
        <w:rPr>
          <w:rFonts w:hint="eastAsia" w:ascii="宋体" w:hAnsi="宋体"/>
          <w:sz w:val="28"/>
          <w:szCs w:val="28"/>
        </w:rPr>
        <w:t>一、</w:t>
      </w:r>
      <w:r>
        <w:rPr>
          <w:rFonts w:hint="eastAsia" w:ascii="宋体" w:hAnsi="宋体"/>
          <w:sz w:val="28"/>
          <w:szCs w:val="28"/>
          <w:lang w:val="en-US" w:eastAsia="zh-CN"/>
        </w:rPr>
        <w:t>技术</w:t>
      </w:r>
      <w:r>
        <w:rPr>
          <w:rFonts w:hint="eastAsia" w:ascii="宋体" w:hAnsi="宋体"/>
          <w:sz w:val="28"/>
          <w:szCs w:val="28"/>
        </w:rPr>
        <w:t>参数及</w:t>
      </w:r>
      <w:r>
        <w:rPr>
          <w:rFonts w:hint="eastAsia" w:ascii="宋体" w:hAnsi="宋体"/>
          <w:sz w:val="28"/>
          <w:szCs w:val="28"/>
          <w:lang w:val="en-US" w:eastAsia="zh-CN"/>
        </w:rPr>
        <w:t>功能</w:t>
      </w:r>
      <w:r>
        <w:rPr>
          <w:rFonts w:hint="eastAsia" w:ascii="宋体" w:hAnsi="宋体"/>
          <w:sz w:val="28"/>
          <w:szCs w:val="28"/>
        </w:rPr>
        <w:t>要求</w:t>
      </w:r>
    </w:p>
    <w:p>
      <w:pPr>
        <w:pStyle w:val="2"/>
        <w:rPr>
          <w:rFonts w:hint="eastAsia"/>
        </w:rPr>
      </w:pPr>
    </w:p>
    <w:tbl>
      <w:tblPr>
        <w:tblStyle w:val="58"/>
        <w:tblW w:w="10064" w:type="dxa"/>
        <w:tblInd w:w="0" w:type="dxa"/>
        <w:tblLayout w:type="fixed"/>
        <w:tblCellMar>
          <w:top w:w="0" w:type="dxa"/>
          <w:left w:w="108" w:type="dxa"/>
          <w:bottom w:w="0" w:type="dxa"/>
          <w:right w:w="108" w:type="dxa"/>
        </w:tblCellMar>
      </w:tblPr>
      <w:tblGrid>
        <w:gridCol w:w="416"/>
        <w:gridCol w:w="968"/>
        <w:gridCol w:w="1827"/>
        <w:gridCol w:w="4678"/>
        <w:gridCol w:w="2175"/>
      </w:tblGrid>
      <w:tr>
        <w:tblPrEx>
          <w:tblCellMar>
            <w:top w:w="0" w:type="dxa"/>
            <w:left w:w="108" w:type="dxa"/>
            <w:bottom w:w="0" w:type="dxa"/>
            <w:right w:w="108" w:type="dxa"/>
          </w:tblCellMar>
        </w:tblPrEx>
        <w:trPr>
          <w:trHeight w:val="285" w:hRule="atLeast"/>
        </w:trPr>
        <w:tc>
          <w:tcPr>
            <w:tcW w:w="416"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序号</w:t>
            </w:r>
          </w:p>
        </w:tc>
        <w:tc>
          <w:tcPr>
            <w:tcW w:w="968" w:type="dxa"/>
            <w:tcBorders>
              <w:top w:val="single" w:color="auto" w:sz="8"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类别</w:t>
            </w:r>
          </w:p>
        </w:tc>
        <w:tc>
          <w:tcPr>
            <w:tcW w:w="1827"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功能</w:t>
            </w:r>
          </w:p>
        </w:tc>
        <w:tc>
          <w:tcPr>
            <w:tcW w:w="4678"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技术要求</w:t>
            </w:r>
          </w:p>
        </w:tc>
        <w:tc>
          <w:tcPr>
            <w:tcW w:w="2175" w:type="dxa"/>
            <w:tcBorders>
              <w:top w:val="single" w:color="auto" w:sz="8" w:space="0"/>
              <w:left w:val="nil"/>
              <w:bottom w:val="single" w:color="auto" w:sz="4" w:space="0"/>
              <w:right w:val="single" w:color="auto" w:sz="8" w:space="0"/>
            </w:tcBorders>
            <w:noWrap w:val="0"/>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备注</w:t>
            </w:r>
          </w:p>
        </w:tc>
      </w:tr>
      <w:tr>
        <w:tblPrEx>
          <w:tblCellMar>
            <w:top w:w="0" w:type="dxa"/>
            <w:left w:w="108" w:type="dxa"/>
            <w:bottom w:w="0" w:type="dxa"/>
            <w:right w:w="108" w:type="dxa"/>
          </w:tblCellMar>
        </w:tblPrEx>
        <w:trPr>
          <w:trHeight w:val="1425" w:hRule="atLeast"/>
        </w:trPr>
        <w:tc>
          <w:tcPr>
            <w:tcW w:w="416"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p>
        </w:tc>
        <w:tc>
          <w:tcPr>
            <w:tcW w:w="96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医院临床信息系统数据接口</w:t>
            </w:r>
          </w:p>
        </w:tc>
        <w:tc>
          <w:tcPr>
            <w:tcW w:w="18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1.1、按患者识别号及时间段导入医院临床信息系统中患者存量或增量数据。</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1、按医院信息系统基础数据平台（集成平台）接口要求实现；</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2、患者数据包括：患者识别号（可为患者身份证号、就诊卡号、住院号或其它特殊标识）、基本信息、电子病历（门诊、住院和处方记录）、检验结果报告、影像检查结果报告等；</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3、数据格式定义参照《慢性肾脏病CKD健康管理系统与医院信息系统数据接口说明书》。</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系统具备管理相同患者同时具有多个标识的匹配能力</w:t>
            </w:r>
          </w:p>
        </w:tc>
      </w:tr>
      <w:tr>
        <w:tblPrEx>
          <w:tblCellMar>
            <w:top w:w="0" w:type="dxa"/>
            <w:left w:w="108" w:type="dxa"/>
            <w:bottom w:w="0" w:type="dxa"/>
            <w:right w:w="108" w:type="dxa"/>
          </w:tblCellMar>
        </w:tblPrEx>
        <w:trPr>
          <w:trHeight w:val="1425" w:hRule="atLeast"/>
        </w:trPr>
        <w:tc>
          <w:tcPr>
            <w:tcW w:w="416" w:type="dxa"/>
            <w:vMerge w:val="restart"/>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p>
        </w:tc>
        <w:tc>
          <w:tcPr>
            <w:tcW w:w="96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CKD管理系统</w:t>
            </w:r>
          </w:p>
        </w:tc>
        <w:tc>
          <w:tcPr>
            <w:tcW w:w="18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2.1、系统使用者管理</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1、医护人员注册(帐户申请和创建) ；</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2、医护人员帐户管理(管理员/科室主任授权对医护人员帐户激活或禁用)；</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3、医护人员使用权限管理(各类使用者角色及相应权限设定) 。</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p>
        </w:tc>
      </w:tr>
      <w:tr>
        <w:tblPrEx>
          <w:tblCellMar>
            <w:top w:w="0" w:type="dxa"/>
            <w:left w:w="108" w:type="dxa"/>
            <w:bottom w:w="0" w:type="dxa"/>
            <w:right w:w="108" w:type="dxa"/>
          </w:tblCellMar>
        </w:tblPrEx>
        <w:trPr>
          <w:trHeight w:val="1425"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18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2.2、即时总览（工作站仪表盘）</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1、患者量及变化情况，如科室患者总量及同比变化、特定病患总量(按主管医生/病种等)及同比变化、APP患者总量及变化及APP健康任务下达情况等功能；</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2、医护人员个人主管的患者复诊、随访等安排情况；</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3、患者预警情况；</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4、科室经营管理情况，包括科室病患复诊计划及完成情况，及病患随访计划及完成情况；</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5、其它定制要求。</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855"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2.3、当日门诊概况</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1、我的候诊病人(按本周和当日)；</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2、我的特殊病人；</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3、我的新添病人；</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4、我的患者预警；</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5、其它筛查方法。</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我的特殊病人可设定特殊监控指标，如未设置复诊时间、CKD3期等</w:t>
            </w:r>
          </w:p>
        </w:tc>
      </w:tr>
      <w:tr>
        <w:tblPrEx>
          <w:tblCellMar>
            <w:top w:w="0" w:type="dxa"/>
            <w:left w:w="108" w:type="dxa"/>
            <w:bottom w:w="0" w:type="dxa"/>
            <w:right w:w="108" w:type="dxa"/>
          </w:tblCellMar>
        </w:tblPrEx>
        <w:trPr>
          <w:trHeight w:val="855"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2.4、当日卫教概况</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1、特殊病人；</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2、病患关怀提醒；</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3、当日卫教概况应包括主管医生提醒</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4、其它筛查方法（包括当日管理患者、预警患者包含血压、血糠、尿酸、生化、营养沟通互换预警）。</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特殊病人可设定特殊监控指标如CKD3期等；病患关怀可设定特殊指标如病患生日提醒等。</w:t>
            </w:r>
          </w:p>
        </w:tc>
      </w:tr>
      <w:tr>
        <w:tblPrEx>
          <w:tblCellMar>
            <w:top w:w="0" w:type="dxa"/>
            <w:left w:w="108" w:type="dxa"/>
            <w:bottom w:w="0" w:type="dxa"/>
            <w:right w:w="108" w:type="dxa"/>
          </w:tblCellMar>
        </w:tblPrEx>
        <w:trPr>
          <w:trHeight w:val="1123"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2.5、病患列表及检索</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1、病患管理包含全部病患列表、特殊病患列表及疑似病患列表等管理功能；</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2、各类列表包括关键指标展示、按指标排序、表中病患检索(提供多类检索方法)及分页展示；</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lang w:val="en-US" w:eastAsia="zh-CN"/>
              </w:rPr>
              <w:t>3</w:t>
            </w:r>
            <w:r>
              <w:rPr>
                <w:rFonts w:hint="eastAsia" w:ascii="宋体" w:hAnsi="宋体" w:eastAsia="宋体" w:cs="宋体"/>
                <w:color w:val="auto"/>
                <w:kern w:val="0"/>
                <w:sz w:val="24"/>
                <w:szCs w:val="20"/>
              </w:rPr>
              <w:t>、特殊病患列表包括亚专业管理分类、医护管理分类及病患状态分类；</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lang w:val="en-US" w:eastAsia="zh-CN"/>
              </w:rPr>
              <w:t>4</w:t>
            </w:r>
            <w:r>
              <w:rPr>
                <w:rFonts w:hint="eastAsia" w:ascii="宋体" w:hAnsi="宋体" w:eastAsia="宋体" w:cs="宋体"/>
                <w:color w:val="auto"/>
                <w:kern w:val="0"/>
                <w:sz w:val="24"/>
                <w:szCs w:val="20"/>
              </w:rPr>
              <w:t>、疑似病患列表具有筛查全院LIS系统疑似病患功能，提供多种计算模型的筛查并展现疑似病患统计数据及名单明细数据，例如eGFR、24H肌酐比等。</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数据视图、辅助决 策：</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包含：临床诊断、原发病诊断、并发症诊断、高血压管理、</w:t>
            </w:r>
            <w:r>
              <w:rPr>
                <w:rFonts w:hint="eastAsia" w:ascii="宋体" w:hAnsi="宋体" w:eastAsia="宋体" w:cs="宋体"/>
                <w:color w:val="auto"/>
                <w:kern w:val="0"/>
                <w:sz w:val="24"/>
                <w:szCs w:val="20"/>
                <w:lang w:val="en-US" w:eastAsia="zh-CN"/>
              </w:rPr>
              <w:t>糖尿病</w:t>
            </w:r>
            <w:r>
              <w:rPr>
                <w:rFonts w:hint="eastAsia" w:ascii="宋体" w:hAnsi="宋体" w:eastAsia="宋体" w:cs="宋体"/>
                <w:color w:val="auto"/>
                <w:kern w:val="0"/>
                <w:sz w:val="24"/>
                <w:szCs w:val="20"/>
              </w:rPr>
              <w:t>管理、高尿酸血症管理、营养管理、 慢性病用药、合并症用药、肾脏病管理、 临床可视化数据、家庭数据、转归管理以 上包含预警数据制 定</w:t>
            </w:r>
            <w:r>
              <w:rPr>
                <w:rFonts w:hint="eastAsia" w:ascii="宋体" w:hAnsi="宋体" w:eastAsia="宋体" w:cs="宋体"/>
                <w:color w:val="auto"/>
                <w:kern w:val="0"/>
                <w:sz w:val="24"/>
                <w:szCs w:val="20"/>
                <w:lang w:eastAsia="zh-CN"/>
              </w:rPr>
              <w:t>。</w:t>
            </w:r>
          </w:p>
        </w:tc>
      </w:tr>
      <w:tr>
        <w:tblPrEx>
          <w:tblCellMar>
            <w:top w:w="0" w:type="dxa"/>
            <w:left w:w="108" w:type="dxa"/>
            <w:bottom w:w="0" w:type="dxa"/>
            <w:right w:w="108" w:type="dxa"/>
          </w:tblCellMar>
        </w:tblPrEx>
        <w:trPr>
          <w:trHeight w:val="1140"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2.6、病患搜索</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1、普通搜索可按病患识别号、姓名、拼音简写等搜索，病患识别号可包括就诊卡号、身份识别号、医保卡号等；</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2、综合性搜索则可按多项指标的布尔逻辑组合进行搜索，指标包括病患信息、医护信息、检验指标及时间区段等。</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1407"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2.7、病患个人医疗管理</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1、病患数据导入是通过医院数据接口导入病患相关HIS、LIS、PACS数据，按起始日期及患者识别号导入；</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2、病患多卡号管理是对病患有多就诊卡号、多住院号等相关ID等的关联及管理；</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3、病患概要包括关键医疗信息和个人资料。病患主要数据趋势视图，例如门诊生理、主要生化检验、血、尿检验、肾功能、</w:t>
            </w:r>
            <w:r>
              <w:rPr>
                <w:rFonts w:hint="eastAsia" w:ascii="宋体" w:hAnsi="宋体" w:eastAsia="宋体" w:cs="宋体"/>
                <w:color w:val="auto"/>
                <w:kern w:val="0"/>
                <w:sz w:val="24"/>
                <w:szCs w:val="20"/>
                <w:lang w:val="en-US" w:eastAsia="zh-CN"/>
              </w:rPr>
              <w:t>电解质、</w:t>
            </w:r>
            <w:r>
              <w:rPr>
                <w:rFonts w:hint="eastAsia" w:ascii="宋体" w:hAnsi="宋体" w:eastAsia="宋体" w:cs="宋体"/>
                <w:color w:val="auto"/>
                <w:kern w:val="0"/>
                <w:sz w:val="24"/>
                <w:szCs w:val="20"/>
              </w:rPr>
              <w:t>eGFR及变化率</w:t>
            </w:r>
            <w:r>
              <w:rPr>
                <w:rFonts w:hint="eastAsia" w:ascii="宋体" w:hAnsi="宋体" w:eastAsia="宋体" w:cs="宋体"/>
                <w:color w:val="auto"/>
                <w:kern w:val="0"/>
                <w:sz w:val="24"/>
                <w:szCs w:val="20"/>
                <w:lang w:eastAsia="zh-CN"/>
              </w:rPr>
              <w:t>、</w:t>
            </w:r>
            <w:r>
              <w:rPr>
                <w:rFonts w:hint="eastAsia" w:ascii="宋体" w:hAnsi="宋体" w:eastAsia="宋体" w:cs="宋体"/>
                <w:color w:val="auto"/>
                <w:kern w:val="0"/>
                <w:sz w:val="24"/>
                <w:szCs w:val="20"/>
                <w:lang w:val="en-US" w:eastAsia="zh-CN"/>
              </w:rPr>
              <w:t>MDRD、EPI、</w:t>
            </w:r>
            <w:r>
              <w:rPr>
                <w:rFonts w:hint="eastAsia" w:ascii="宋体" w:hAnsi="宋体" w:eastAsia="宋体" w:cs="宋体"/>
                <w:color w:val="auto"/>
                <w:kern w:val="0"/>
                <w:sz w:val="24"/>
                <w:szCs w:val="20"/>
              </w:rPr>
              <w:t>个人质控状况、预警设置及预警报告、APP数据</w:t>
            </w:r>
            <w:r>
              <w:rPr>
                <w:rFonts w:hint="eastAsia" w:ascii="宋体" w:hAnsi="宋体" w:eastAsia="宋体" w:cs="宋体"/>
                <w:color w:val="auto"/>
                <w:kern w:val="0"/>
                <w:sz w:val="24"/>
                <w:szCs w:val="20"/>
                <w:lang w:eastAsia="zh-CN"/>
              </w:rPr>
              <w:t>；</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4、个人信息包括基础信息（如体重、</w:t>
            </w:r>
            <w:r>
              <w:rPr>
                <w:rFonts w:hint="eastAsia" w:ascii="宋体" w:hAnsi="宋体" w:eastAsia="宋体" w:cs="宋体"/>
                <w:color w:val="auto"/>
                <w:kern w:val="0"/>
                <w:sz w:val="24"/>
                <w:szCs w:val="20"/>
                <w:lang w:val="en-US" w:eastAsia="en-US"/>
              </w:rPr>
              <w:t>BMIs</w:t>
            </w:r>
            <w:r>
              <w:rPr>
                <w:rFonts w:hint="eastAsia" w:ascii="宋体" w:hAnsi="宋体" w:eastAsia="宋体" w:cs="宋体"/>
                <w:color w:val="auto"/>
                <w:kern w:val="0"/>
                <w:sz w:val="24"/>
                <w:szCs w:val="20"/>
              </w:rPr>
              <w:t>腰围、臀围、艘臀比、营养筛查指标等）、联系方式（含其他联系人）；</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5、诊疗记录包括大病历、原发病诊断、病理诊断、功能诊断、并发症记录、合并症诊断、传染病记录、肿瘤诊断、过敏记录、阶段医疗小结、门诊诊疗记录、住院诊疗记录、用药处方记录、长期医嘱、其它诊疗记录、转归记录和主任批注；随访患者医嘱分开管理，长期医嘱及临时医嘱；</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6、辅助检查包括分类实燈室检查记录（分别按医学常用分类和医院检验项目名称组合）、病理检查记录、影像检查记录、其它影像记录、胸部X线诊断、心电图诊断、超声心动图诊断、颈动脉超声诊断、腹部</w:t>
            </w:r>
            <w:r>
              <w:rPr>
                <w:rFonts w:hint="eastAsia" w:ascii="宋体" w:hAnsi="宋体" w:eastAsia="宋体" w:cs="宋体"/>
                <w:color w:val="auto"/>
                <w:kern w:val="0"/>
                <w:sz w:val="24"/>
                <w:szCs w:val="20"/>
                <w:lang w:val="en-US" w:eastAsia="zh-CN"/>
              </w:rPr>
              <w:t>B</w:t>
            </w:r>
            <w:r>
              <w:rPr>
                <w:rFonts w:hint="eastAsia" w:ascii="宋体" w:hAnsi="宋体" w:eastAsia="宋体" w:cs="宋体"/>
                <w:color w:val="auto"/>
                <w:kern w:val="0"/>
                <w:sz w:val="24"/>
                <w:szCs w:val="20"/>
              </w:rPr>
              <w:t>超；病理、</w:t>
            </w:r>
            <w:r>
              <w:rPr>
                <w:rFonts w:hint="eastAsia" w:ascii="宋体" w:hAnsi="宋体" w:eastAsia="宋体" w:cs="宋体"/>
                <w:color w:val="auto"/>
                <w:kern w:val="0"/>
                <w:sz w:val="24"/>
                <w:szCs w:val="20"/>
                <w:lang w:val="en-US" w:eastAsia="en-US"/>
              </w:rPr>
              <w:t xml:space="preserve">inbody </w:t>
            </w:r>
            <w:r>
              <w:rPr>
                <w:rFonts w:hint="eastAsia" w:ascii="宋体" w:hAnsi="宋体" w:eastAsia="宋体" w:cs="宋体"/>
                <w:color w:val="auto"/>
                <w:kern w:val="0"/>
                <w:sz w:val="24"/>
                <w:szCs w:val="20"/>
              </w:rPr>
              <w:t>测量按需求増加、胸部影像学脉超声诊断、腹部彩超、动态心电图、动态血压、眼科会诊记录等；</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7、按照“以人为本”的原则，医护人员根据单个病人实际情况，并发进行多种亚专业管理。亚专业管理类别可包括生理体征管理、</w:t>
            </w:r>
            <w:r>
              <w:rPr>
                <w:rFonts w:hint="eastAsia" w:ascii="宋体" w:hAnsi="宋体" w:eastAsia="宋体" w:cs="宋体"/>
                <w:color w:val="auto"/>
                <w:kern w:val="0"/>
                <w:sz w:val="24"/>
                <w:szCs w:val="20"/>
                <w:lang w:val="en-US" w:eastAsia="en-US"/>
              </w:rPr>
              <w:t xml:space="preserve">CKD </w:t>
            </w:r>
            <w:r>
              <w:rPr>
                <w:rFonts w:hint="eastAsia" w:ascii="宋体" w:hAnsi="宋体" w:eastAsia="宋体" w:cs="宋体"/>
                <w:color w:val="auto"/>
                <w:kern w:val="0"/>
                <w:sz w:val="24"/>
                <w:szCs w:val="20"/>
              </w:rPr>
              <w:t>管理、</w:t>
            </w:r>
            <w:r>
              <w:rPr>
                <w:rFonts w:hint="eastAsia" w:ascii="宋体" w:hAnsi="宋体" w:eastAsia="宋体" w:cs="宋体"/>
                <w:color w:val="auto"/>
                <w:kern w:val="0"/>
                <w:sz w:val="24"/>
                <w:szCs w:val="20"/>
                <w:lang w:val="en-US" w:eastAsia="en-US"/>
              </w:rPr>
              <w:t>IgA</w:t>
            </w:r>
            <w:r>
              <w:rPr>
                <w:rFonts w:hint="eastAsia" w:ascii="宋体" w:hAnsi="宋体" w:eastAsia="宋体" w:cs="宋体"/>
                <w:color w:val="auto"/>
                <w:kern w:val="0"/>
                <w:sz w:val="24"/>
                <w:szCs w:val="20"/>
              </w:rPr>
              <w:t>肾病管理、膜性肾病管理、糠尿病管理、营养管理、</w:t>
            </w:r>
            <w:r>
              <w:rPr>
                <w:rFonts w:hint="eastAsia" w:ascii="宋体" w:hAnsi="宋体" w:eastAsia="宋体" w:cs="宋体"/>
                <w:color w:val="auto"/>
                <w:kern w:val="0"/>
                <w:sz w:val="24"/>
                <w:szCs w:val="20"/>
                <w:lang w:val="en-US" w:eastAsia="zh-CN"/>
              </w:rPr>
              <w:t>血液</w:t>
            </w:r>
            <w:r>
              <w:rPr>
                <w:rFonts w:hint="eastAsia" w:ascii="宋体" w:hAnsi="宋体" w:eastAsia="宋体" w:cs="宋体"/>
                <w:color w:val="auto"/>
                <w:kern w:val="0"/>
                <w:sz w:val="24"/>
                <w:szCs w:val="20"/>
              </w:rPr>
              <w:t>透析管理、腹膜透析管理、高血压管理、高尿酸血症、高脂血症、狼疮性肾炎、</w:t>
            </w:r>
            <w:r>
              <w:rPr>
                <w:rFonts w:hint="eastAsia" w:ascii="宋体" w:hAnsi="宋体" w:eastAsia="宋体" w:cs="宋体"/>
                <w:color w:val="auto"/>
                <w:kern w:val="0"/>
                <w:sz w:val="24"/>
                <w:szCs w:val="20"/>
                <w:lang w:val="en-US" w:eastAsia="en-US"/>
              </w:rPr>
              <w:t>ANCA</w:t>
            </w:r>
            <w:r>
              <w:rPr>
                <w:rFonts w:hint="eastAsia" w:ascii="宋体" w:hAnsi="宋体" w:eastAsia="宋体" w:cs="宋体"/>
                <w:color w:val="auto"/>
                <w:kern w:val="0"/>
                <w:sz w:val="24"/>
                <w:szCs w:val="20"/>
              </w:rPr>
              <w:t>相关性肾炎、肾小管间质疾病、干燥综合征肾损害、红斑狼疮、肾移植、风湿病等。同时可应科室需求増添其它亚专业管理类别；</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8、随访管理包括随访计划制定及随访执行记录，随访计划可提供参考方案，科室按需进行调整；</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9、营养管理包括患者营养基本情况记录、各类营养评估记录、营养处方及管理、日常膳食记录及营养成分记录和营养随访记录。増加虚拟营养师模块包含：营养筛查、营养评估、营养干预、营养报告、营养监测等并视图显示、加入</w:t>
            </w:r>
            <w:r>
              <w:rPr>
                <w:rFonts w:hint="eastAsia" w:ascii="宋体" w:hAnsi="宋体" w:eastAsia="宋体" w:cs="宋体"/>
                <w:color w:val="auto"/>
                <w:kern w:val="0"/>
                <w:sz w:val="24"/>
                <w:szCs w:val="20"/>
                <w:lang w:val="en-US" w:eastAsia="en-US"/>
              </w:rPr>
              <w:t>APP</w:t>
            </w:r>
            <w:r>
              <w:rPr>
                <w:rFonts w:hint="eastAsia" w:ascii="宋体" w:hAnsi="宋体" w:eastAsia="宋体" w:cs="宋体"/>
                <w:color w:val="auto"/>
                <w:kern w:val="0"/>
                <w:sz w:val="24"/>
                <w:szCs w:val="20"/>
              </w:rPr>
              <w:t>形成院内外交互式患教育、饮食调查记录表和并可上传饮食图片更形象的辅助营养评估、营养成份表的搜索比如高磷高钾高尿酸等，能否有营养调查的数据计算器等、増加运动处方及肾病运动相关知识、抓取营养科给本科患者的相关方案、体格监测包含体格测量和临床体征，体格测量包含：是否截肢，目前体重、近期体重増减、腰围、上臂围、皮皱厚度、握力、目前身高、理想体重、腰臀比、上臂肌围计算。临床体征包含：意识、体温、皮肤弾性、胸水、呼吸、水肿、粘膜、腹水；</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10、综合评估含专科所需各类患者评估记录</w:t>
            </w:r>
            <w:r>
              <w:rPr>
                <w:rFonts w:hint="eastAsia" w:ascii="宋体" w:hAnsi="宋体" w:eastAsia="宋体" w:cs="宋体"/>
                <w:color w:val="auto"/>
                <w:kern w:val="0"/>
                <w:sz w:val="24"/>
                <w:szCs w:val="20"/>
                <w:lang w:eastAsia="zh-CN"/>
              </w:rPr>
              <w:t>；</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11、APP任务管理包括APP健康管理任务制定及推送、卫教计划制定及推送，以及从云端获取APP任务执行状态及统计数据</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12、</w:t>
            </w:r>
            <w:r>
              <w:rPr>
                <w:rFonts w:hint="eastAsia" w:ascii="宋体" w:hAnsi="宋体" w:eastAsia="宋体" w:cs="宋体"/>
                <w:color w:val="auto"/>
                <w:kern w:val="0"/>
                <w:sz w:val="24"/>
                <w:szCs w:val="20"/>
                <w:lang w:val="en-US" w:eastAsia="en-US"/>
              </w:rPr>
              <w:t>APP</w:t>
            </w:r>
            <w:r>
              <w:rPr>
                <w:rFonts w:hint="eastAsia" w:ascii="宋体" w:hAnsi="宋体" w:eastAsia="宋体" w:cs="宋体"/>
                <w:color w:val="auto"/>
                <w:kern w:val="0"/>
                <w:sz w:val="24"/>
                <w:szCs w:val="20"/>
              </w:rPr>
              <w:t>服务端数据可视化、交互式患教形成、 营养处方、评估随访、用药跟踪、事件警告、运动处方、大病历、作业指标追踪、复诊要求推送及</w:t>
            </w:r>
            <w:r>
              <w:rPr>
                <w:rFonts w:hint="eastAsia" w:ascii="宋体" w:hAnsi="宋体" w:eastAsia="宋体" w:cs="宋体"/>
                <w:color w:val="auto"/>
                <w:kern w:val="0"/>
                <w:sz w:val="24"/>
                <w:szCs w:val="20"/>
                <w:lang w:val="en-US" w:eastAsia="zh-CN"/>
              </w:rPr>
              <w:t>提醒</w:t>
            </w:r>
            <w:r>
              <w:rPr>
                <w:rFonts w:hint="eastAsia" w:ascii="宋体" w:hAnsi="宋体" w:eastAsia="宋体" w:cs="宋体"/>
                <w:color w:val="auto"/>
                <w:kern w:val="0"/>
                <w:sz w:val="24"/>
                <w:szCs w:val="20"/>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13、根据专科的危险因子差异、对专科所需了解的结构化数据进行重要性分组，提高数据</w:t>
            </w:r>
            <w:r>
              <w:rPr>
                <w:rFonts w:hint="eastAsia" w:ascii="宋体" w:hAnsi="宋体" w:eastAsia="宋体" w:cs="宋体"/>
                <w:color w:val="auto"/>
                <w:kern w:val="0"/>
                <w:sz w:val="24"/>
                <w:szCs w:val="20"/>
                <w:lang w:val="en-US" w:eastAsia="zh-CN"/>
              </w:rPr>
              <w:t>获取</w:t>
            </w:r>
            <w:r>
              <w:rPr>
                <w:rFonts w:hint="eastAsia" w:ascii="宋体" w:hAnsi="宋体" w:eastAsia="宋体" w:cs="宋体"/>
                <w:color w:val="auto"/>
                <w:kern w:val="0"/>
                <w:sz w:val="24"/>
                <w:szCs w:val="20"/>
              </w:rPr>
              <w:t>便利性以及实现对比查看、根据病情可对患者设置个性化警戒；</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14、</w:t>
            </w:r>
            <w:r>
              <w:rPr>
                <w:rFonts w:hint="eastAsia" w:ascii="宋体" w:hAnsi="宋体" w:eastAsia="宋体" w:cs="宋体"/>
                <w:color w:val="auto"/>
                <w:kern w:val="0"/>
                <w:sz w:val="24"/>
                <w:szCs w:val="20"/>
                <w:lang w:val="en-US" w:eastAsia="zh-CN"/>
              </w:rPr>
              <w:t xml:space="preserve"> </w:t>
            </w:r>
            <w:r>
              <w:rPr>
                <w:rFonts w:hint="eastAsia" w:ascii="宋体" w:hAnsi="宋体" w:eastAsia="宋体" w:cs="宋体"/>
                <w:color w:val="auto"/>
                <w:kern w:val="0"/>
                <w:sz w:val="24"/>
                <w:szCs w:val="20"/>
              </w:rPr>
              <w:t>病理标本管理：根据标本种类进行入库管 理，包括编号产生、存放位置视图。对标本的后续事务进行管理、如借出、归还、存量等情况，对采集的标本种类，进行病理诊断录入，并保留原始凭证，完成病理数据结构化，为后续科研统计工作提供数据基础。</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1、第7点中亚专业 管理模块由科室提 供相关专业表格、流 程和数据要求</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2、第8点中随访管 理相关细节参见</w:t>
            </w:r>
            <w:r>
              <w:rPr>
                <w:rFonts w:hint="eastAsia" w:ascii="宋体" w:hAnsi="宋体" w:eastAsia="宋体" w:cs="宋体"/>
                <w:color w:val="auto"/>
                <w:kern w:val="0"/>
                <w:sz w:val="24"/>
                <w:szCs w:val="20"/>
                <w:lang w:val="en-US" w:eastAsia="en-US"/>
              </w:rPr>
              <w:t>2.9</w:t>
            </w:r>
            <w:r>
              <w:rPr>
                <w:rFonts w:hint="eastAsia" w:ascii="宋体" w:hAnsi="宋体" w:eastAsia="宋体" w:cs="宋体"/>
                <w:color w:val="auto"/>
                <w:kern w:val="0"/>
                <w:sz w:val="24"/>
                <w:szCs w:val="20"/>
                <w:lang w:val="en-US" w:eastAsia="zh-CN"/>
              </w:rPr>
              <w:t>。</w:t>
            </w:r>
          </w:p>
        </w:tc>
      </w:tr>
      <w:tr>
        <w:tblPrEx>
          <w:tblCellMar>
            <w:top w:w="0" w:type="dxa"/>
            <w:left w:w="108" w:type="dxa"/>
            <w:bottom w:w="0" w:type="dxa"/>
            <w:right w:w="108" w:type="dxa"/>
          </w:tblCellMar>
        </w:tblPrEx>
        <w:trPr>
          <w:trHeight w:val="855"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2.8、患者预警和处理</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1、病患预警：提醒医护主管患者的最新检验结果中出现的指标超标情况；</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2、患者重要活动提醒：提醒用户患者近期门诊、随访、卫教、透析等日程安排。</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1710"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2.9、随访管理</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1、随访管理资料库包括云端获取或临床科室自建，云端随访资料库内容由台湾或大陆三甲医院提供；</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2、资料库上传云端及资料库本地副本定制；</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3、标准化随访管理计划应包括单个患者计划制定，可对随访内容按照问答、选择等多种方式制定，批量患者模板制定；</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4、随访可由卫教师根据实际情况采用多种方式进行，或在系统上直接录入随访记录，或将随访问题推送至患者APP端，提醒患者回答，APP端随访记录可由系统调阅并保存。</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随访管理资料可保 持与云端资料库同 步，及时获取权威性更新。</w:t>
            </w:r>
          </w:p>
        </w:tc>
      </w:tr>
      <w:tr>
        <w:tblPrEx>
          <w:tblCellMar>
            <w:top w:w="0" w:type="dxa"/>
            <w:left w:w="108" w:type="dxa"/>
            <w:bottom w:w="0" w:type="dxa"/>
            <w:right w:w="108" w:type="dxa"/>
          </w:tblCellMar>
        </w:tblPrEx>
        <w:trPr>
          <w:trHeight w:val="1425"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color w:val="auto"/>
                <w:sz w:val="21"/>
                <w:szCs w:val="21"/>
              </w:rPr>
              <w:t>★</w:t>
            </w:r>
            <w:r>
              <w:rPr>
                <w:rFonts w:hint="eastAsia" w:ascii="宋体" w:hAnsi="宋体" w:eastAsia="宋体" w:cs="宋体"/>
                <w:color w:val="auto"/>
                <w:kern w:val="0"/>
                <w:sz w:val="24"/>
                <w:szCs w:val="20"/>
              </w:rPr>
              <w:t>2.10、卫教管理</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1、卫教资料库包括云端获取或临床科室自建，云端卫教资料库内容由台湾或大陆三甲医院提供；</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2、资料库上传云端及资料库本地副本定制；</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3、标准化卫教管理计划应包括单个患者计划制定，可对卫教成果进行跟踪，如资料学习进度及资料内容阅后考试评分等</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w:t>
            </w:r>
            <w:r>
              <w:rPr>
                <w:rFonts w:hint="eastAsia" w:ascii="宋体" w:hAnsi="宋体" w:eastAsia="宋体" w:cs="宋体"/>
                <w:bCs/>
                <w:color w:val="auto"/>
                <w:kern w:val="0"/>
                <w:sz w:val="24"/>
                <w:szCs w:val="20"/>
              </w:rPr>
              <w:t>患者教育可由卫教师根据实际情况采用多种方式进行，或在系统上直接录入患教记录，或将患教任务问题推送至患者APP端，提醒患者学习并考核评分，APP端患教进度和记录可由系统调阅并保存</w:t>
            </w:r>
            <w:r>
              <w:rPr>
                <w:rFonts w:hint="eastAsia" w:ascii="宋体" w:hAnsi="宋体" w:eastAsia="宋体" w:cs="宋体"/>
                <w:color w:val="auto"/>
                <w:kern w:val="0"/>
                <w:sz w:val="24"/>
                <w:szCs w:val="20"/>
              </w:rPr>
              <w:t>。</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1、卫教资料形成患 教资料库及专科护 士培养资料库并及 时更新提供云端资 料库共享同步及自 定义功能，保障资料 来源的权威性</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en-US"/>
              </w:rPr>
              <w:t>2、APP</w:t>
            </w:r>
            <w:r>
              <w:rPr>
                <w:rFonts w:hint="eastAsia" w:ascii="宋体" w:hAnsi="宋体" w:eastAsia="宋体" w:cs="宋体"/>
                <w:color w:val="auto"/>
                <w:kern w:val="0"/>
                <w:sz w:val="24"/>
                <w:szCs w:val="20"/>
              </w:rPr>
              <w:t>端可跟踪及回 馈患者是否阅读卫教资料及阅读时长和次数的反馈。</w:t>
            </w:r>
          </w:p>
        </w:tc>
      </w:tr>
      <w:tr>
        <w:tblPrEx>
          <w:tblCellMar>
            <w:top w:w="0" w:type="dxa"/>
            <w:left w:w="108" w:type="dxa"/>
            <w:bottom w:w="0" w:type="dxa"/>
            <w:right w:w="108" w:type="dxa"/>
          </w:tblCellMar>
        </w:tblPrEx>
        <w:trPr>
          <w:trHeight w:val="1995"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color w:val="auto"/>
                <w:sz w:val="21"/>
                <w:szCs w:val="21"/>
              </w:rPr>
              <w:t>★</w:t>
            </w:r>
            <w:r>
              <w:rPr>
                <w:rFonts w:hint="eastAsia" w:ascii="宋体" w:hAnsi="宋体" w:eastAsia="宋体" w:cs="宋体"/>
                <w:color w:val="auto"/>
                <w:kern w:val="0"/>
                <w:sz w:val="24"/>
                <w:szCs w:val="20"/>
              </w:rPr>
              <w:t>2.11、质控管理</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1、质控管理分类为流程和管理质控、KPI质控及终点事件质控。各质控指标可分别按患者类别、分析周期，指标参考值范围等进行分析统计，产生图表结果</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2、流程和管理质控包括：患教质控、病案完整性、复诊率和随访率等</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3、</w:t>
            </w:r>
            <w:r>
              <w:rPr>
                <w:rFonts w:hint="eastAsia" w:ascii="宋体" w:hAnsi="宋体" w:eastAsia="宋体" w:cs="宋体"/>
                <w:bCs/>
                <w:color w:val="auto"/>
                <w:kern w:val="0"/>
                <w:sz w:val="24"/>
                <w:szCs w:val="20"/>
              </w:rPr>
              <w:t>KPI质控包括：病患基本情况、诊断信息、KPI指标和APP使用情况等。其中病患基本情况含年龄和性别分布、疑似病患分布、计划复诊日期分布、计划随访日期分布等；诊断信息含ICD-10分布、CKD分布、糖尿病分布、BMI分布等；KPI指标含各类专科指标；APP使用情况含APP患者注册及各类健康任务下达及执行情况统计等</w:t>
            </w:r>
            <w:r>
              <w:rPr>
                <w:rFonts w:hint="eastAsia" w:ascii="宋体" w:hAnsi="宋体" w:eastAsia="宋体" w:cs="宋体"/>
                <w:bCs/>
                <w:color w:val="auto"/>
                <w:kern w:val="0"/>
                <w:sz w:val="24"/>
                <w:szCs w:val="20"/>
                <w:lang w:eastAsia="zh-CN"/>
              </w:rPr>
              <w:t>；</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4、终点事件质控包括转归统计、死亡统计等</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5、根据临床科室管理和科研需求可添加其它质控内容。</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质控管理需包含： </w:t>
            </w:r>
            <w:r>
              <w:rPr>
                <w:rFonts w:hint="eastAsia" w:ascii="宋体" w:hAnsi="宋体" w:eastAsia="宋体" w:cs="宋体"/>
                <w:color w:val="auto"/>
                <w:kern w:val="0"/>
                <w:sz w:val="24"/>
                <w:szCs w:val="20"/>
                <w:lang w:val="en-US" w:eastAsia="en-US"/>
              </w:rPr>
              <w:t>APP</w:t>
            </w:r>
            <w:r>
              <w:rPr>
                <w:rFonts w:hint="eastAsia" w:ascii="宋体" w:hAnsi="宋体" w:eastAsia="宋体" w:cs="宋体"/>
                <w:color w:val="auto"/>
                <w:kern w:val="0"/>
                <w:sz w:val="24"/>
                <w:szCs w:val="20"/>
              </w:rPr>
              <w:t>患者分布、血糠、血压测量分布、流失率、同比流失率、肾病管理、血压、血糠、尿酸等生化指标生 活方式控制成效率、 同比新増、新増数、血红蛋白、血脂等复诊率的分布、年龄性别的分布、诊断病理分布、病情分期分布、电解质管控效果、依从性分布、各专业管控的分布和成效。</w:t>
            </w:r>
          </w:p>
        </w:tc>
      </w:tr>
      <w:tr>
        <w:tblPrEx>
          <w:tblCellMar>
            <w:top w:w="0" w:type="dxa"/>
            <w:left w:w="108" w:type="dxa"/>
            <w:bottom w:w="0" w:type="dxa"/>
            <w:right w:w="108" w:type="dxa"/>
          </w:tblCellMar>
        </w:tblPrEx>
        <w:trPr>
          <w:trHeight w:val="570"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2.12、医护人员管理</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1、各医护人员名下各类管理指标情况；</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2</w:t>
            </w:r>
            <w:r>
              <w:rPr>
                <w:rFonts w:hint="eastAsia" w:ascii="宋体" w:hAnsi="宋体" w:eastAsia="宋体" w:cs="宋体"/>
                <w:color w:val="auto"/>
                <w:kern w:val="0"/>
                <w:sz w:val="24"/>
                <w:szCs w:val="20"/>
              </w:rPr>
              <w:t>、各医护人员名下随访计划及执行；</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lang w:val="en-US" w:eastAsia="zh-CN"/>
              </w:rPr>
              <w:t>3</w:t>
            </w:r>
            <w:r>
              <w:rPr>
                <w:rFonts w:hint="eastAsia" w:ascii="宋体" w:hAnsi="宋体" w:eastAsia="宋体" w:cs="宋体"/>
                <w:color w:val="auto"/>
                <w:kern w:val="0"/>
                <w:sz w:val="24"/>
                <w:szCs w:val="20"/>
              </w:rPr>
              <w:t>、其它管理功能根据医院科室管理需求添加</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1710"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2.13、系统辅助功能</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1、图表打印；</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2、图像文件导入；</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3、Excel文件导入和导出；</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4、各类数据可视化方；</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5、系统内医护人员消息系统；</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6、医护人员和病患APP间消息系统及消息系统平台端（可选）。</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285"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2.14、数据库</w:t>
            </w:r>
          </w:p>
        </w:tc>
        <w:tc>
          <w:tcPr>
            <w:tcW w:w="4678"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标准MySql数据库操作</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855"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2.15、系统应用参数设定</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应用参数设定应包括诊断标准设定(ICD-10等诊断标准)、检验指标设定、专科常用药品管理设定、日常膳食营养成分设定及健康宣教内容设定。</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570"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宋体"/>
                <w:color w:val="auto"/>
                <w:kern w:val="0"/>
                <w:szCs w:val="21"/>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2.16、系统维护</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rPr>
              <w:t>周期性数据维护功能，含批量更新病患医疗及科研数据等功能。</w:t>
            </w:r>
            <w:r>
              <w:rPr>
                <w:rFonts w:hint="eastAsia" w:ascii="宋体" w:hAnsi="宋体" w:eastAsia="宋体" w:cs="宋体"/>
                <w:color w:val="auto"/>
                <w:kern w:val="0"/>
                <w:sz w:val="24"/>
                <w:szCs w:val="20"/>
                <w:lang w:val="en-US" w:eastAsia="zh-CN"/>
              </w:rPr>
              <w:t>及时更新维护。</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570" w:hRule="atLeast"/>
        </w:trPr>
        <w:tc>
          <w:tcPr>
            <w:tcW w:w="416" w:type="dxa"/>
            <w:vMerge w:val="restart"/>
            <w:tcBorders>
              <w:top w:val="nil"/>
              <w:left w:val="single" w:color="auto" w:sz="8" w:space="0"/>
              <w:right w:val="single" w:color="auto" w:sz="4" w:space="0"/>
            </w:tcBorders>
            <w:noWrap w:val="0"/>
            <w:vAlign w:val="center"/>
          </w:tcPr>
          <w:p>
            <w:pPr>
              <w:widowControl/>
              <w:jc w:val="left"/>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lang w:val="en-US" w:eastAsia="zh-CN"/>
              </w:rPr>
              <w:t>3</w:t>
            </w:r>
          </w:p>
        </w:tc>
        <w:tc>
          <w:tcPr>
            <w:tcW w:w="968"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lang w:val="en-US" w:eastAsia="zh-CN"/>
              </w:rPr>
              <w:t>临床科研管理平台</w:t>
            </w: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3.1、</w:t>
            </w:r>
            <w:r>
              <w:rPr>
                <w:rFonts w:hint="eastAsia" w:ascii="宋体" w:hAnsi="宋体" w:eastAsia="宋体" w:cs="宋体"/>
                <w:color w:val="auto"/>
                <w:kern w:val="0"/>
                <w:sz w:val="24"/>
                <w:szCs w:val="20"/>
              </w:rPr>
              <w:t>科研人员用户管理系统</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1、科研项目人员注册（帐户申请和创建）</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2、科研项目人员帐户管理（管理员</w:t>
            </w:r>
            <w:r>
              <w:rPr>
                <w:rFonts w:hint="eastAsia" w:ascii="宋体" w:hAnsi="宋体" w:eastAsia="宋体" w:cs="宋体"/>
                <w:color w:val="auto"/>
                <w:kern w:val="0"/>
                <w:sz w:val="24"/>
                <w:szCs w:val="20"/>
                <w:lang w:val="en-US" w:eastAsia="zh-CN"/>
              </w:rPr>
              <w:t>/首席</w:t>
            </w:r>
            <w:r>
              <w:rPr>
                <w:rFonts w:hint="eastAsia" w:ascii="宋体" w:hAnsi="宋体" w:eastAsia="宋体" w:cs="宋体"/>
                <w:color w:val="auto"/>
                <w:kern w:val="0"/>
                <w:sz w:val="24"/>
                <w:szCs w:val="20"/>
              </w:rPr>
              <w:t>科研者授权对项目人员帐户激活或禁用）</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科研项目人员使用权限管理（各类使用者角 色及相应权限设定）。</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医护人员权限管理 适用于操作临床科 研平台及科研项目 应用系统页面全部 或局部</w:t>
            </w:r>
          </w:p>
        </w:tc>
      </w:tr>
      <w:tr>
        <w:tblPrEx>
          <w:tblCellMar>
            <w:top w:w="0" w:type="dxa"/>
            <w:left w:w="108" w:type="dxa"/>
            <w:bottom w:w="0" w:type="dxa"/>
            <w:right w:w="108" w:type="dxa"/>
          </w:tblCellMar>
        </w:tblPrEx>
        <w:trPr>
          <w:trHeight w:val="570" w:hRule="atLeast"/>
        </w:trPr>
        <w:tc>
          <w:tcPr>
            <w:tcW w:w="416" w:type="dxa"/>
            <w:vMerge w:val="continue"/>
            <w:tcBorders>
              <w:left w:val="single" w:color="auto" w:sz="8" w:space="0"/>
              <w:right w:val="single" w:color="auto" w:sz="4" w:space="0"/>
            </w:tcBorders>
            <w:noWrap w:val="0"/>
            <w:vAlign w:val="center"/>
          </w:tcPr>
          <w:p>
            <w:pPr>
              <w:widowControl/>
              <w:jc w:val="left"/>
              <w:rPr>
                <w:rFonts w:hint="eastAsia" w:ascii="宋体" w:hAnsi="宋体" w:eastAsia="宋体" w:cs="宋体"/>
                <w:color w:val="auto"/>
                <w:kern w:val="0"/>
                <w:sz w:val="24"/>
                <w:szCs w:val="20"/>
                <w:lang w:val="en-US" w:eastAsia="zh-CN"/>
              </w:rPr>
            </w:pPr>
          </w:p>
        </w:tc>
        <w:tc>
          <w:tcPr>
            <w:tcW w:w="968"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lang w:val="en-US" w:eastAsia="zh-CN"/>
              </w:rPr>
              <w:t>3.2、受试者列表及检索</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1、科研项目受试者总表；</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2、</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受试者候选筛查</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受试者入组管理；</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4、</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新増患者</w:t>
            </w:r>
            <w:r>
              <w:rPr>
                <w:rFonts w:hint="eastAsia" w:ascii="宋体" w:hAnsi="宋体" w:eastAsia="宋体" w:cs="宋体"/>
                <w:color w:val="auto"/>
                <w:kern w:val="0"/>
                <w:sz w:val="24"/>
                <w:szCs w:val="20"/>
                <w:lang w:eastAsia="zh-CN"/>
              </w:rPr>
              <w:t>。</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1、可按关键指标排 序。关键指标包括：受试者编号、随机 号、姓名、性别、年 龄、项目、入组日期、 项目进度、访视计 划、质询等（其它由 科研者自定义）</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2、可按指标进行筛 查：受试者编号、随 机号、病人姓名、姓 名拼音首字母、</w:t>
            </w:r>
            <w:r>
              <w:rPr>
                <w:rFonts w:hint="eastAsia" w:ascii="宋体" w:hAnsi="宋体" w:eastAsia="宋体" w:cs="宋体"/>
                <w:color w:val="auto"/>
                <w:kern w:val="0"/>
                <w:sz w:val="24"/>
                <w:szCs w:val="20"/>
                <w:lang w:val="en-US" w:eastAsia="zh-CN"/>
              </w:rPr>
              <w:t>性别、</w:t>
            </w:r>
            <w:r>
              <w:rPr>
                <w:rFonts w:hint="eastAsia" w:ascii="宋体" w:hAnsi="宋体" w:eastAsia="宋体" w:cs="宋体"/>
                <w:color w:val="auto"/>
                <w:kern w:val="0"/>
                <w:sz w:val="24"/>
                <w:szCs w:val="20"/>
              </w:rPr>
              <w:t>科研项目、质询状态等。</w:t>
            </w:r>
          </w:p>
        </w:tc>
      </w:tr>
      <w:tr>
        <w:tblPrEx>
          <w:tblCellMar>
            <w:top w:w="0" w:type="dxa"/>
            <w:left w:w="108" w:type="dxa"/>
            <w:bottom w:w="0" w:type="dxa"/>
            <w:right w:w="108" w:type="dxa"/>
          </w:tblCellMar>
        </w:tblPrEx>
        <w:trPr>
          <w:trHeight w:val="570" w:hRule="atLeast"/>
        </w:trPr>
        <w:tc>
          <w:tcPr>
            <w:tcW w:w="416" w:type="dxa"/>
            <w:vMerge w:val="continue"/>
            <w:tcBorders>
              <w:left w:val="single" w:color="auto" w:sz="8" w:space="0"/>
              <w:right w:val="single" w:color="auto" w:sz="4" w:space="0"/>
            </w:tcBorders>
            <w:noWrap w:val="0"/>
            <w:vAlign w:val="center"/>
          </w:tcPr>
          <w:p>
            <w:pPr>
              <w:widowControl/>
              <w:jc w:val="left"/>
              <w:rPr>
                <w:rFonts w:hint="eastAsia" w:ascii="宋体" w:hAnsi="宋体" w:eastAsia="宋体" w:cs="宋体"/>
                <w:color w:val="auto"/>
                <w:kern w:val="0"/>
                <w:sz w:val="24"/>
                <w:szCs w:val="20"/>
                <w:lang w:val="en-US" w:eastAsia="zh-CN"/>
              </w:rPr>
            </w:pPr>
          </w:p>
        </w:tc>
        <w:tc>
          <w:tcPr>
            <w:tcW w:w="968"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lang w:val="en-US" w:eastAsia="zh-CN"/>
              </w:rPr>
              <w:t>3.3、科研项目访试定义和设置</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项目管理：新増或修改项目基本信息：项目名称、项目代码、首席研究者、项目日期、项目内容、项目访试设置；</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2、访视设置包括访试名称、访视时间周期和范围</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3</w:t>
            </w:r>
            <w:r>
              <w:rPr>
                <w:rFonts w:hint="eastAsia" w:ascii="宋体" w:hAnsi="宋体" w:eastAsia="宋体" w:cs="宋体"/>
                <w:color w:val="auto"/>
                <w:kern w:val="0"/>
                <w:sz w:val="24"/>
                <w:szCs w:val="20"/>
              </w:rPr>
              <w:t>、添加或删除访视。</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p>
        </w:tc>
      </w:tr>
      <w:tr>
        <w:tblPrEx>
          <w:tblCellMar>
            <w:top w:w="0" w:type="dxa"/>
            <w:left w:w="108" w:type="dxa"/>
            <w:bottom w:w="0" w:type="dxa"/>
            <w:right w:w="108" w:type="dxa"/>
          </w:tblCellMar>
        </w:tblPrEx>
        <w:trPr>
          <w:trHeight w:val="570" w:hRule="atLeast"/>
        </w:trPr>
        <w:tc>
          <w:tcPr>
            <w:tcW w:w="416" w:type="dxa"/>
            <w:vMerge w:val="continue"/>
            <w:tcBorders>
              <w:left w:val="single" w:color="auto" w:sz="8" w:space="0"/>
              <w:right w:val="single" w:color="auto" w:sz="4" w:space="0"/>
            </w:tcBorders>
            <w:noWrap w:val="0"/>
            <w:vAlign w:val="center"/>
          </w:tcPr>
          <w:p>
            <w:pPr>
              <w:widowControl/>
              <w:jc w:val="left"/>
              <w:rPr>
                <w:rFonts w:hint="eastAsia" w:ascii="宋体" w:hAnsi="宋体" w:eastAsia="宋体" w:cs="宋体"/>
                <w:color w:val="auto"/>
                <w:kern w:val="0"/>
                <w:sz w:val="24"/>
                <w:szCs w:val="20"/>
                <w:lang w:val="en-US" w:eastAsia="zh-CN"/>
              </w:rPr>
            </w:pPr>
          </w:p>
        </w:tc>
        <w:tc>
          <w:tcPr>
            <w:tcW w:w="968"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lang w:val="en-US" w:eastAsia="zh-CN"/>
              </w:rPr>
            </w:pPr>
            <w:r>
              <w:rPr>
                <w:rFonts w:hint="eastAsia" w:ascii="宋体" w:hAnsi="宋体"/>
                <w:color w:val="auto"/>
                <w:sz w:val="21"/>
                <w:szCs w:val="21"/>
              </w:rPr>
              <w:t>★</w:t>
            </w:r>
            <w:r>
              <w:rPr>
                <w:rFonts w:hint="eastAsia" w:ascii="宋体" w:hAnsi="宋体" w:eastAsia="宋体" w:cs="宋体"/>
                <w:color w:val="auto"/>
                <w:kern w:val="0"/>
                <w:sz w:val="24"/>
                <w:szCs w:val="20"/>
                <w:lang w:val="en-US" w:eastAsia="zh-CN"/>
              </w:rPr>
              <w:t>3.4、访视内容</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1、中标人需协同科研项目人员对具体的项目访试内容或使用参考设计，或进行定制化开发。具体功能实现遵从科研项目要求协商确定</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访视内容可包含但不限于以下类别：知情同意、入组标准、排除标准、人口学信息、病史资料、用药记录、症状体征、实验室检查结果、影像检查结果、综合评估、不良事件记录、严重不良事件记录、标本记录、退出标准、费用记录、项目结束等。</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p>
        </w:tc>
      </w:tr>
      <w:tr>
        <w:tblPrEx>
          <w:tblCellMar>
            <w:top w:w="0" w:type="dxa"/>
            <w:left w:w="108" w:type="dxa"/>
            <w:bottom w:w="0" w:type="dxa"/>
            <w:right w:w="108" w:type="dxa"/>
          </w:tblCellMar>
        </w:tblPrEx>
        <w:trPr>
          <w:trHeight w:val="570" w:hRule="atLeast"/>
        </w:trPr>
        <w:tc>
          <w:tcPr>
            <w:tcW w:w="416" w:type="dxa"/>
            <w:vMerge w:val="continue"/>
            <w:tcBorders>
              <w:left w:val="single" w:color="auto" w:sz="8" w:space="0"/>
              <w:right w:val="single" w:color="auto" w:sz="4" w:space="0"/>
            </w:tcBorders>
            <w:noWrap w:val="0"/>
            <w:vAlign w:val="center"/>
          </w:tcPr>
          <w:p>
            <w:pPr>
              <w:widowControl/>
              <w:jc w:val="left"/>
              <w:rPr>
                <w:rFonts w:hint="eastAsia" w:ascii="宋体" w:hAnsi="宋体" w:eastAsia="宋体" w:cs="宋体"/>
                <w:color w:val="auto"/>
                <w:kern w:val="0"/>
                <w:sz w:val="24"/>
                <w:szCs w:val="20"/>
                <w:lang w:val="en-US" w:eastAsia="zh-CN"/>
              </w:rPr>
            </w:pPr>
          </w:p>
        </w:tc>
        <w:tc>
          <w:tcPr>
            <w:tcW w:w="968"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lang w:val="zh-TW" w:eastAsia="zh-TW"/>
              </w:rPr>
            </w:pPr>
            <w:r>
              <w:rPr>
                <w:rFonts w:hint="eastAsia" w:ascii="宋体" w:hAnsi="宋体" w:eastAsia="宋体" w:cs="宋体"/>
                <w:color w:val="auto"/>
                <w:kern w:val="0"/>
                <w:sz w:val="24"/>
                <w:szCs w:val="20"/>
                <w:lang w:val="en-US" w:eastAsia="zh-CN"/>
              </w:rPr>
              <w:t>3.5、科研监察</w:t>
            </w:r>
          </w:p>
        </w:tc>
        <w:tc>
          <w:tcPr>
            <w:tcW w:w="4678"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访视内容质询</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2、</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质询应答</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lang w:val="zh-TW" w:eastAsia="zh-CN"/>
              </w:rPr>
            </w:pPr>
            <w:r>
              <w:rPr>
                <w:rFonts w:hint="eastAsia" w:ascii="宋体" w:hAnsi="宋体" w:eastAsia="宋体" w:cs="宋体"/>
                <w:color w:val="auto"/>
                <w:kern w:val="0"/>
                <w:sz w:val="24"/>
                <w:szCs w:val="20"/>
              </w:rPr>
              <w:t>3、</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历史质询记录查询和统计</w:t>
            </w:r>
            <w:r>
              <w:rPr>
                <w:rFonts w:hint="eastAsia" w:ascii="宋体" w:hAnsi="宋体" w:eastAsia="宋体" w:cs="宋体"/>
                <w:color w:val="auto"/>
                <w:kern w:val="0"/>
                <w:sz w:val="24"/>
                <w:szCs w:val="20"/>
                <w:lang w:eastAsia="zh-CN"/>
              </w:rPr>
              <w:t>。</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p>
        </w:tc>
      </w:tr>
      <w:tr>
        <w:tblPrEx>
          <w:tblCellMar>
            <w:top w:w="0" w:type="dxa"/>
            <w:left w:w="108" w:type="dxa"/>
            <w:bottom w:w="0" w:type="dxa"/>
            <w:right w:w="108" w:type="dxa"/>
          </w:tblCellMar>
        </w:tblPrEx>
        <w:trPr>
          <w:trHeight w:val="570" w:hRule="atLeast"/>
        </w:trPr>
        <w:tc>
          <w:tcPr>
            <w:tcW w:w="416"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lang w:val="en-US" w:eastAsia="zh-CN"/>
              </w:rPr>
            </w:pPr>
          </w:p>
        </w:tc>
        <w:tc>
          <w:tcPr>
            <w:tcW w:w="96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lang w:val="zh-TW" w:eastAsia="zh-TW"/>
              </w:rPr>
            </w:pPr>
            <w:r>
              <w:rPr>
                <w:rFonts w:hint="eastAsia" w:ascii="宋体" w:hAnsi="宋体" w:eastAsia="宋体" w:cs="宋体"/>
                <w:color w:val="auto"/>
                <w:kern w:val="0"/>
                <w:sz w:val="24"/>
                <w:szCs w:val="20"/>
                <w:lang w:val="en-US" w:eastAsia="zh-CN"/>
              </w:rPr>
              <w:t>3.6、辅助功能</w:t>
            </w:r>
          </w:p>
        </w:tc>
        <w:tc>
          <w:tcPr>
            <w:tcW w:w="4678"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项目工作日历</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2、</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质询</w:t>
            </w:r>
            <w:r>
              <w:rPr>
                <w:rFonts w:hint="eastAsia" w:ascii="宋体" w:hAnsi="宋体" w:eastAsia="宋体" w:cs="宋体"/>
                <w:color w:val="auto"/>
                <w:kern w:val="0"/>
                <w:sz w:val="24"/>
                <w:szCs w:val="20"/>
                <w:lang w:val="en-US" w:eastAsia="zh-CN"/>
              </w:rPr>
              <w:t>提醒；</w:t>
            </w:r>
          </w:p>
          <w:p>
            <w:pPr>
              <w:widowControl/>
              <w:jc w:val="left"/>
              <w:rPr>
                <w:rFonts w:hint="eastAsia" w:ascii="宋体" w:hAnsi="宋体" w:eastAsia="宋体" w:cs="宋体"/>
                <w:color w:val="auto"/>
                <w:kern w:val="0"/>
                <w:sz w:val="24"/>
                <w:szCs w:val="20"/>
                <w:lang w:val="zh-TW" w:eastAsia="zh-CN"/>
              </w:rPr>
            </w:pPr>
            <w:r>
              <w:rPr>
                <w:rFonts w:hint="eastAsia" w:ascii="宋体" w:hAnsi="宋体" w:eastAsia="宋体" w:cs="宋体"/>
                <w:color w:val="auto"/>
                <w:kern w:val="0"/>
                <w:sz w:val="24"/>
                <w:szCs w:val="20"/>
              </w:rPr>
              <w:t>3、</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项目进度和动态</w:t>
            </w:r>
            <w:r>
              <w:rPr>
                <w:rFonts w:hint="eastAsia" w:ascii="宋体" w:hAnsi="宋体" w:eastAsia="宋体" w:cs="宋体"/>
                <w:color w:val="auto"/>
                <w:kern w:val="0"/>
                <w:sz w:val="24"/>
                <w:szCs w:val="20"/>
                <w:lang w:eastAsia="zh-CN"/>
              </w:rPr>
              <w:t>。</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p>
        </w:tc>
      </w:tr>
      <w:tr>
        <w:tblPrEx>
          <w:tblCellMar>
            <w:top w:w="0" w:type="dxa"/>
            <w:left w:w="108" w:type="dxa"/>
            <w:bottom w:w="0" w:type="dxa"/>
            <w:right w:w="108" w:type="dxa"/>
          </w:tblCellMar>
        </w:tblPrEx>
        <w:trPr>
          <w:trHeight w:val="285" w:hRule="atLeast"/>
        </w:trPr>
        <w:tc>
          <w:tcPr>
            <w:tcW w:w="416" w:type="dxa"/>
            <w:vMerge w:val="restart"/>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lang w:val="en-US" w:eastAsia="zh-CN"/>
              </w:rPr>
              <w:t>4</w:t>
            </w:r>
          </w:p>
        </w:tc>
        <w:tc>
          <w:tcPr>
            <w:tcW w:w="96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腹膜透析管理系统</w:t>
            </w: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4</w:t>
            </w:r>
            <w:r>
              <w:rPr>
                <w:rFonts w:hint="eastAsia" w:ascii="宋体" w:hAnsi="宋体" w:eastAsia="宋体" w:cs="宋体"/>
                <w:color w:val="auto"/>
                <w:kern w:val="0"/>
                <w:sz w:val="24"/>
                <w:szCs w:val="20"/>
              </w:rPr>
              <w:t>.1、使用者用户管理系统</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同CKD系统 2.1</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570"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4</w:t>
            </w:r>
            <w:r>
              <w:rPr>
                <w:rFonts w:hint="eastAsia" w:ascii="宋体" w:hAnsi="宋体" w:eastAsia="宋体" w:cs="宋体"/>
                <w:color w:val="auto"/>
                <w:kern w:val="0"/>
                <w:sz w:val="24"/>
                <w:szCs w:val="20"/>
              </w:rPr>
              <w:t>.2、腹透病患列表及检索</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1、腹膜透析病人总表；</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2、病患筛查；</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3、相关功能参考CKD系统2.5、2.6</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p>
        </w:tc>
      </w:tr>
      <w:tr>
        <w:tblPrEx>
          <w:tblCellMar>
            <w:top w:w="0" w:type="dxa"/>
            <w:left w:w="108" w:type="dxa"/>
            <w:bottom w:w="0" w:type="dxa"/>
            <w:right w:w="108" w:type="dxa"/>
          </w:tblCellMar>
        </w:tblPrEx>
        <w:trPr>
          <w:trHeight w:val="442"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4</w:t>
            </w:r>
            <w:r>
              <w:rPr>
                <w:rFonts w:hint="eastAsia" w:ascii="宋体" w:hAnsi="宋体" w:eastAsia="宋体" w:cs="宋体"/>
                <w:color w:val="auto"/>
                <w:kern w:val="0"/>
                <w:sz w:val="24"/>
                <w:szCs w:val="20"/>
              </w:rPr>
              <w:t>.3、病患预警和处理</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同CKD系统2.8</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2683"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color w:val="auto"/>
                <w:sz w:val="21"/>
                <w:szCs w:val="21"/>
              </w:rPr>
              <w:t>★</w:t>
            </w:r>
            <w:r>
              <w:rPr>
                <w:rFonts w:hint="eastAsia" w:ascii="宋体" w:hAnsi="宋体" w:eastAsia="宋体" w:cs="宋体"/>
                <w:color w:val="auto"/>
                <w:kern w:val="0"/>
                <w:sz w:val="24"/>
                <w:szCs w:val="20"/>
                <w:lang w:val="en-US" w:eastAsia="zh-CN"/>
              </w:rPr>
              <w:t>4</w:t>
            </w:r>
            <w:r>
              <w:rPr>
                <w:rFonts w:hint="eastAsia" w:ascii="宋体" w:hAnsi="宋体" w:eastAsia="宋体" w:cs="宋体"/>
                <w:color w:val="auto"/>
                <w:kern w:val="0"/>
                <w:sz w:val="24"/>
                <w:szCs w:val="20"/>
              </w:rPr>
              <w:t>.4、病患腹膜透析管理</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1、病患概要包括关键医疗信息、个人资料、病患主要数据趋势曲线同CKD系统；</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2、个人信息包括基础信息、联系方式(含其他联系人) 同CKD系统；</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3、诊疗记录同CKD系统；</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4、辅助检查记录同CKD系统；</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5、腹膜透析方案：含患者腹透基本信息、透析方案详情、透析后系统回顾、外出口评估、腹膜炎诊疗记录、出口/隧道感染及治疗记录、腹透常规用药记录</w:t>
            </w:r>
            <w:r>
              <w:rPr>
                <w:rFonts w:hint="eastAsia" w:ascii="宋体" w:hAnsi="宋体" w:eastAsia="宋体" w:cs="宋体"/>
                <w:color w:val="auto"/>
                <w:kern w:val="0"/>
                <w:sz w:val="24"/>
                <w:szCs w:val="20"/>
                <w:lang w:eastAsia="zh-CN"/>
              </w:rPr>
              <w:t>；</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6、腹膜透析记录：包括外接短管更换记录、样本留取记录、手术记录和年度总结表；</w:t>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t>7、营养管理包括患者营养基本情况记录、各类营养评估记录、营养处方及管理、日常膳食记录及营养成分记录和营养随访记录，同CKD系统</w:t>
            </w:r>
            <w:r>
              <w:rPr>
                <w:rFonts w:hint="eastAsia" w:ascii="宋体" w:hAnsi="宋体" w:eastAsia="宋体" w:cs="宋体"/>
                <w:color w:val="auto"/>
                <w:kern w:val="0"/>
                <w:sz w:val="24"/>
                <w:szCs w:val="20"/>
                <w:lang w:eastAsia="zh-CN"/>
              </w:rPr>
              <w:t>；</w:t>
            </w:r>
          </w:p>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8、综合评估含专科所需各类患者评估记录。7、患者综合评估：包括各类腹膜透析患者评估内容、记录和各类查询方法，同CKD系统。</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p>
        </w:tc>
      </w:tr>
      <w:tr>
        <w:tblPrEx>
          <w:tblCellMar>
            <w:top w:w="0" w:type="dxa"/>
            <w:left w:w="108" w:type="dxa"/>
            <w:bottom w:w="0" w:type="dxa"/>
            <w:right w:w="108" w:type="dxa"/>
          </w:tblCellMar>
        </w:tblPrEx>
        <w:trPr>
          <w:trHeight w:val="840" w:hRule="atLeast"/>
        </w:trPr>
        <w:tc>
          <w:tcPr>
            <w:tcW w:w="416"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p>
        </w:tc>
        <w:tc>
          <w:tcPr>
            <w:tcW w:w="182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4</w:t>
            </w:r>
            <w:r>
              <w:rPr>
                <w:rFonts w:hint="eastAsia" w:ascii="宋体" w:hAnsi="宋体" w:eastAsia="宋体" w:cs="宋体"/>
                <w:color w:val="auto"/>
                <w:kern w:val="0"/>
                <w:sz w:val="24"/>
                <w:szCs w:val="20"/>
              </w:rPr>
              <w:t>.5、腹膜透析质控管理</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同CKD系统，针对腹膜透析，各类质控指标中分别包括：新增腹透病患情况统计、转归情况及原因、腹膜炎发生、转归和病原学相关统计、贫血、各类腹透KPI指标、营养评估、透析充分性、骨代谢、并发症等。</w:t>
            </w:r>
          </w:p>
        </w:tc>
        <w:tc>
          <w:tcPr>
            <w:tcW w:w="2175"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300" w:hRule="atLeast"/>
        </w:trPr>
        <w:tc>
          <w:tcPr>
            <w:tcW w:w="416" w:type="dxa"/>
            <w:vMerge w:val="restart"/>
            <w:tcBorders>
              <w:top w:val="nil"/>
              <w:left w:val="single" w:color="auto" w:sz="8" w:space="0"/>
              <w:right w:val="single" w:color="auto" w:sz="4" w:space="0"/>
            </w:tcBorders>
            <w:noWrap/>
            <w:vAlign w:val="center"/>
          </w:tcPr>
          <w:p>
            <w:pPr>
              <w:widowControl/>
              <w:jc w:val="center"/>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lang w:val="en-US" w:eastAsia="zh-CN"/>
              </w:rPr>
              <w:t>5</w:t>
            </w:r>
          </w:p>
        </w:tc>
        <w:tc>
          <w:tcPr>
            <w:tcW w:w="968" w:type="dxa"/>
            <w:vMerge w:val="restart"/>
            <w:tcBorders>
              <w:top w:val="nil"/>
              <w:left w:val="nil"/>
              <w:right w:val="single" w:color="auto" w:sz="4" w:space="0"/>
            </w:tcBorders>
            <w:noWrap/>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sz w:val="24"/>
                <w:szCs w:val="20"/>
              </w:rPr>
              <w:t>病房侯床管理</w:t>
            </w:r>
          </w:p>
        </w:tc>
        <w:tc>
          <w:tcPr>
            <w:tcW w:w="1827" w:type="dxa"/>
            <w:tcBorders>
              <w:top w:val="nil"/>
              <w:left w:val="nil"/>
              <w:bottom w:val="single" w:color="auto" w:sz="8"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sz w:val="24"/>
                <w:szCs w:val="20"/>
                <w:lang w:val="en-US" w:eastAsia="zh-CN"/>
              </w:rPr>
              <w:t>5</w:t>
            </w:r>
            <w:r>
              <w:rPr>
                <w:rFonts w:hint="eastAsia" w:ascii="宋体" w:hAnsi="宋体" w:eastAsia="宋体" w:cs="宋体"/>
                <w:color w:val="auto"/>
                <w:sz w:val="24"/>
                <w:szCs w:val="20"/>
              </w:rPr>
              <w:t>.1、病人候床级别管理</w:t>
            </w:r>
            <w:r>
              <w:rPr>
                <w:rFonts w:hint="eastAsia" w:ascii="宋体" w:hAnsi="宋体" w:eastAsia="宋体" w:cs="宋体"/>
                <w:color w:val="auto"/>
                <w:kern w:val="0"/>
                <w:sz w:val="24"/>
                <w:szCs w:val="20"/>
              </w:rPr>
              <w:t xml:space="preserve"> </w:t>
            </w:r>
          </w:p>
        </w:tc>
        <w:tc>
          <w:tcPr>
            <w:tcW w:w="4678"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sz w:val="24"/>
                <w:szCs w:val="20"/>
              </w:rPr>
              <w:t>分紧急、重要、一般三级，可由主任权限调整。</w:t>
            </w:r>
          </w:p>
        </w:tc>
        <w:tc>
          <w:tcPr>
            <w:tcW w:w="2175" w:type="dxa"/>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r>
        <w:tblPrEx>
          <w:tblCellMar>
            <w:top w:w="0" w:type="dxa"/>
            <w:left w:w="108" w:type="dxa"/>
            <w:bottom w:w="0" w:type="dxa"/>
            <w:right w:w="108" w:type="dxa"/>
          </w:tblCellMar>
        </w:tblPrEx>
        <w:trPr>
          <w:trHeight w:val="300" w:hRule="atLeast"/>
        </w:trPr>
        <w:tc>
          <w:tcPr>
            <w:tcW w:w="416" w:type="dxa"/>
            <w:vMerge w:val="continue"/>
            <w:tcBorders>
              <w:left w:val="single" w:color="auto" w:sz="8" w:space="0"/>
              <w:bottom w:val="single" w:color="auto" w:sz="8" w:space="0"/>
              <w:right w:val="single" w:color="auto" w:sz="4" w:space="0"/>
            </w:tcBorders>
            <w:noWrap/>
            <w:vAlign w:val="center"/>
          </w:tcPr>
          <w:p>
            <w:pPr>
              <w:widowControl/>
              <w:jc w:val="center"/>
              <w:rPr>
                <w:rFonts w:hint="eastAsia" w:ascii="宋体" w:hAnsi="宋体" w:eastAsia="宋体" w:cs="宋体"/>
                <w:color w:val="auto"/>
                <w:kern w:val="0"/>
                <w:sz w:val="24"/>
                <w:szCs w:val="20"/>
              </w:rPr>
            </w:pPr>
          </w:p>
        </w:tc>
        <w:tc>
          <w:tcPr>
            <w:tcW w:w="968" w:type="dxa"/>
            <w:vMerge w:val="continue"/>
            <w:tcBorders>
              <w:left w:val="nil"/>
              <w:bottom w:val="single" w:color="auto" w:sz="8" w:space="0"/>
              <w:right w:val="single" w:color="auto" w:sz="4" w:space="0"/>
            </w:tcBorders>
            <w:noWrap/>
            <w:vAlign w:val="center"/>
          </w:tcPr>
          <w:p>
            <w:pPr>
              <w:widowControl/>
              <w:jc w:val="center"/>
              <w:rPr>
                <w:rFonts w:hint="eastAsia" w:ascii="宋体" w:hAnsi="宋体" w:eastAsia="宋体" w:cs="宋体"/>
                <w:color w:val="auto"/>
                <w:kern w:val="0"/>
                <w:sz w:val="24"/>
                <w:szCs w:val="20"/>
              </w:rPr>
            </w:pPr>
          </w:p>
        </w:tc>
        <w:tc>
          <w:tcPr>
            <w:tcW w:w="1827" w:type="dxa"/>
            <w:tcBorders>
              <w:top w:val="nil"/>
              <w:left w:val="nil"/>
              <w:bottom w:val="single" w:color="auto" w:sz="8"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sz w:val="24"/>
                <w:szCs w:val="20"/>
                <w:lang w:val="en-US" w:eastAsia="zh-CN"/>
              </w:rPr>
              <w:t>5</w:t>
            </w:r>
            <w:r>
              <w:rPr>
                <w:rFonts w:hint="eastAsia" w:ascii="宋体" w:hAnsi="宋体" w:eastAsia="宋体" w:cs="宋体"/>
                <w:color w:val="auto"/>
                <w:sz w:val="24"/>
                <w:szCs w:val="20"/>
              </w:rPr>
              <w:t>.2、空床情况提示</w:t>
            </w:r>
          </w:p>
        </w:tc>
        <w:tc>
          <w:tcPr>
            <w:tcW w:w="4678"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sz w:val="24"/>
                <w:szCs w:val="20"/>
              </w:rPr>
              <w:t>按患者级别及空床情况提示主管医护，及时通知病人入院</w:t>
            </w:r>
          </w:p>
        </w:tc>
        <w:tc>
          <w:tcPr>
            <w:tcW w:w="2175" w:type="dxa"/>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含空床情况表单导出及打印功能</w:t>
            </w:r>
          </w:p>
        </w:tc>
      </w:tr>
      <w:tr>
        <w:tblPrEx>
          <w:tblCellMar>
            <w:top w:w="0" w:type="dxa"/>
            <w:left w:w="108" w:type="dxa"/>
            <w:bottom w:w="0" w:type="dxa"/>
            <w:right w:w="108" w:type="dxa"/>
          </w:tblCellMar>
        </w:tblPrEx>
        <w:trPr>
          <w:trHeight w:val="300" w:hRule="atLeast"/>
        </w:trPr>
        <w:tc>
          <w:tcPr>
            <w:tcW w:w="416" w:type="dxa"/>
            <w:tcBorders>
              <w:top w:val="nil"/>
              <w:left w:val="single" w:color="auto" w:sz="8" w:space="0"/>
              <w:bottom w:val="single" w:color="auto" w:sz="8" w:space="0"/>
              <w:right w:val="single" w:color="auto" w:sz="4" w:space="0"/>
            </w:tcBorders>
            <w:noWrap/>
            <w:vAlign w:val="center"/>
          </w:tcPr>
          <w:p>
            <w:pPr>
              <w:widowControl/>
              <w:jc w:val="center"/>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lang w:val="en-US" w:eastAsia="zh-CN"/>
              </w:rPr>
              <w:t>6</w:t>
            </w:r>
          </w:p>
        </w:tc>
        <w:tc>
          <w:tcPr>
            <w:tcW w:w="968" w:type="dxa"/>
            <w:tcBorders>
              <w:top w:val="nil"/>
              <w:left w:val="nil"/>
              <w:bottom w:val="single" w:color="auto" w:sz="8" w:space="0"/>
              <w:right w:val="single" w:color="auto" w:sz="4" w:space="0"/>
            </w:tcBorders>
            <w:noWrap/>
            <w:vAlign w:val="center"/>
          </w:tcPr>
          <w:p>
            <w:pPr>
              <w:widowControl/>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后台管理系统</w:t>
            </w:r>
          </w:p>
        </w:tc>
        <w:tc>
          <w:tcPr>
            <w:tcW w:w="1827" w:type="dxa"/>
            <w:tcBorders>
              <w:top w:val="nil"/>
              <w:left w:val="nil"/>
              <w:bottom w:val="single" w:color="auto" w:sz="8" w:space="0"/>
              <w:right w:val="single" w:color="auto" w:sz="4" w:space="0"/>
            </w:tcBorders>
            <w:noWrap/>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系统管理员后台管理系统</w:t>
            </w:r>
          </w:p>
        </w:tc>
        <w:tc>
          <w:tcPr>
            <w:tcW w:w="4678"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各类后台管理操作功能</w:t>
            </w:r>
          </w:p>
        </w:tc>
        <w:tc>
          <w:tcPr>
            <w:tcW w:w="2175" w:type="dxa"/>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w:t>
            </w:r>
          </w:p>
        </w:tc>
      </w:tr>
    </w:tbl>
    <w:p>
      <w:pPr>
        <w:rPr>
          <w:rFonts w:hint="eastAsia"/>
        </w:rPr>
      </w:pPr>
    </w:p>
    <w:p>
      <w:pPr>
        <w:rPr>
          <w:rFonts w:hint="eastAsia"/>
        </w:rPr>
      </w:pPr>
      <w:r>
        <w:br w:type="page"/>
      </w:r>
    </w:p>
    <w:p>
      <w:pPr>
        <w:pStyle w:val="4"/>
        <w:spacing w:line="276" w:lineRule="auto"/>
        <w:jc w:val="center"/>
        <w:rPr>
          <w:rFonts w:hint="eastAsia"/>
          <w:b/>
          <w:sz w:val="32"/>
          <w:szCs w:val="22"/>
        </w:rPr>
      </w:pPr>
      <w:bookmarkStart w:id="30" w:name="_Toc1697"/>
      <w:r>
        <w:rPr>
          <w:rFonts w:hint="eastAsia"/>
          <w:b/>
          <w:sz w:val="32"/>
          <w:szCs w:val="22"/>
        </w:rPr>
        <w:t>第二部分 商务要求</w:t>
      </w:r>
      <w:bookmarkEnd w:id="30"/>
    </w:p>
    <w:p>
      <w:pPr>
        <w:pStyle w:val="5"/>
        <w:spacing w:before="120" w:after="0" w:line="360" w:lineRule="auto"/>
        <w:jc w:val="left"/>
        <w:rPr>
          <w:rFonts w:hint="eastAsia" w:ascii="宋体" w:hAnsi="宋体"/>
          <w:sz w:val="24"/>
          <w:szCs w:val="24"/>
        </w:rPr>
      </w:pPr>
      <w:r>
        <w:rPr>
          <w:rFonts w:hint="eastAsia" w:ascii="宋体" w:hAnsi="宋体"/>
          <w:sz w:val="28"/>
          <w:szCs w:val="28"/>
        </w:rPr>
        <w:t>一、交付与质保</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（一）交付期（工期）：成交供应商应在签订合同之日起：在30个日历日内完成与各业务系统对接，全系统安装调试完毕达到验收交付条件。</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（二）交付地点：采购人指定地点。</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（三）质保与售后服务要求</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1、质保期：</w:t>
      </w:r>
      <w:r>
        <w:rPr>
          <w:rFonts w:hint="eastAsia" w:ascii="宋体" w:hAnsi="宋体" w:cs="宋体"/>
          <w:color w:val="auto"/>
          <w:sz w:val="24"/>
          <w:szCs w:val="24"/>
          <w:lang w:val="en-US" w:eastAsia="zh-CN"/>
        </w:rPr>
        <w:t>五</w:t>
      </w:r>
      <w:r>
        <w:rPr>
          <w:rFonts w:hint="eastAsia" w:ascii="宋体" w:hAnsi="宋体" w:cs="宋体"/>
          <w:color w:val="auto"/>
          <w:sz w:val="24"/>
          <w:szCs w:val="24"/>
        </w:rPr>
        <w:t>年，从项目正式验收合格之日算起。</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2、质保期内的要求：</w:t>
      </w:r>
    </w:p>
    <w:p>
      <w:pPr>
        <w:spacing w:line="360" w:lineRule="auto"/>
        <w:ind w:firstLine="566" w:firstLineChars="236"/>
        <w:jc w:val="left"/>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b/>
          <w:color w:val="auto"/>
          <w:sz w:val="24"/>
          <w:szCs w:val="24"/>
        </w:rPr>
        <w:t>由</w:t>
      </w:r>
      <w:r>
        <w:rPr>
          <w:rFonts w:hint="eastAsia" w:ascii="宋体" w:hAnsi="宋体" w:cs="宋体"/>
          <w:b/>
          <w:color w:val="auto"/>
          <w:sz w:val="24"/>
          <w:szCs w:val="24"/>
          <w:lang w:eastAsia="zh-CN"/>
        </w:rPr>
        <w:t>软件系统</w:t>
      </w:r>
      <w:r>
        <w:rPr>
          <w:rFonts w:hint="eastAsia" w:ascii="宋体" w:hAnsi="宋体" w:cs="宋体"/>
          <w:b/>
          <w:color w:val="auto"/>
          <w:sz w:val="24"/>
          <w:szCs w:val="24"/>
        </w:rPr>
        <w:t>原</w:t>
      </w:r>
      <w:r>
        <w:rPr>
          <w:rFonts w:hint="eastAsia" w:ascii="宋体" w:hAnsi="宋体" w:cs="宋体"/>
          <w:b/>
          <w:color w:val="auto"/>
          <w:sz w:val="24"/>
          <w:szCs w:val="24"/>
          <w:lang w:eastAsia="zh-CN"/>
        </w:rPr>
        <w:t>开发商（以下简称原厂）</w:t>
      </w:r>
      <w:r>
        <w:rPr>
          <w:rFonts w:hint="eastAsia" w:ascii="宋体" w:hAnsi="宋体" w:cs="宋体"/>
          <w:b/>
          <w:color w:val="auto"/>
          <w:sz w:val="24"/>
          <w:szCs w:val="24"/>
        </w:rPr>
        <w:t>提供售后服务（在投标文件中提供原厂针对本项目的售后服务承诺函）。服务内容包含但不限于软件维护、升级更新、系统备份等。</w:t>
      </w:r>
    </w:p>
    <w:p>
      <w:pPr>
        <w:spacing w:line="360" w:lineRule="auto"/>
        <w:ind w:firstLine="566" w:firstLineChars="236"/>
        <w:jc w:val="left"/>
        <w:rPr>
          <w:rFonts w:hint="eastAsia" w:ascii="宋体" w:hAnsi="宋体" w:cs="宋体"/>
          <w:color w:val="auto"/>
          <w:sz w:val="24"/>
          <w:szCs w:val="24"/>
        </w:rPr>
      </w:pPr>
      <w:r>
        <w:rPr>
          <w:rFonts w:hint="eastAsia" w:ascii="宋体" w:hAnsi="宋体" w:cs="宋体"/>
          <w:color w:val="auto"/>
          <w:sz w:val="24"/>
          <w:szCs w:val="24"/>
        </w:rPr>
        <w:t xml:space="preserve">2)服务要求：7*24小时远程技术支持（电话、邮件、远程服务）；紧急情况下，应在2小时内采取措施，确保在4小时内系统正常运行。 </w:t>
      </w:r>
    </w:p>
    <w:p>
      <w:pPr>
        <w:spacing w:line="360" w:lineRule="auto"/>
        <w:ind w:firstLine="566" w:firstLineChars="236"/>
        <w:jc w:val="left"/>
        <w:rPr>
          <w:rFonts w:hint="eastAsia" w:ascii="宋体" w:hAnsi="宋体" w:cs="宋体"/>
          <w:color w:val="auto"/>
          <w:sz w:val="24"/>
          <w:szCs w:val="24"/>
        </w:rPr>
      </w:pPr>
      <w:r>
        <w:rPr>
          <w:rFonts w:hint="eastAsia" w:ascii="宋体" w:hAnsi="宋体" w:cs="宋体"/>
          <w:color w:val="auto"/>
          <w:sz w:val="24"/>
          <w:szCs w:val="24"/>
        </w:rPr>
        <w:t>3、质保期外的要求：由原厂免费提供远程技术支持（电话、邮件、远程服务）；根据售后服务协议，由原厂提供提供软件功能维护、升级改造和现场服务。</w:t>
      </w:r>
    </w:p>
    <w:p>
      <w:pPr>
        <w:rPr>
          <w:rFonts w:hint="eastAsia"/>
          <w:color w:val="auto"/>
        </w:rPr>
      </w:pPr>
    </w:p>
    <w:p>
      <w:pPr>
        <w:pStyle w:val="5"/>
        <w:spacing w:before="120" w:after="0" w:line="360" w:lineRule="auto"/>
        <w:jc w:val="left"/>
        <w:rPr>
          <w:rFonts w:hint="eastAsia" w:ascii="宋体" w:hAnsi="宋体"/>
          <w:color w:val="auto"/>
          <w:sz w:val="28"/>
          <w:szCs w:val="28"/>
        </w:rPr>
      </w:pPr>
      <w:bookmarkStart w:id="31" w:name="_Toc441065663"/>
      <w:r>
        <w:rPr>
          <w:rFonts w:hint="eastAsia" w:ascii="宋体" w:hAnsi="宋体"/>
          <w:color w:val="auto"/>
          <w:sz w:val="28"/>
          <w:szCs w:val="28"/>
        </w:rPr>
        <w:t>二、</w:t>
      </w:r>
      <w:bookmarkEnd w:id="31"/>
      <w:r>
        <w:rPr>
          <w:rFonts w:hint="eastAsia" w:ascii="宋体" w:hAnsi="宋体"/>
          <w:color w:val="auto"/>
          <w:sz w:val="28"/>
          <w:szCs w:val="28"/>
        </w:rPr>
        <w:t>验收要求</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1、由采购人组织验收。</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2、验收标准：招投标文件、医疗行业规范标准惯例、</w:t>
      </w:r>
      <w:r>
        <w:rPr>
          <w:rFonts w:hint="eastAsia" w:ascii="宋体" w:hAnsi="宋体"/>
          <w:color w:val="auto"/>
          <w:sz w:val="24"/>
          <w:szCs w:val="24"/>
          <w:lang w:val="en-US" w:eastAsia="zh-CN"/>
        </w:rPr>
        <w:t>系统功能实现</w:t>
      </w:r>
      <w:r>
        <w:rPr>
          <w:rFonts w:hint="eastAsia" w:ascii="宋体" w:hAnsi="宋体"/>
          <w:color w:val="auto"/>
          <w:sz w:val="24"/>
          <w:szCs w:val="24"/>
        </w:rPr>
        <w:t>、合同约定等。</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3、验收流程：项目安装调试完毕、试用效果良好后，中标人向采购人申请验收；经验收合格，采购人出具项目验收报告。验收合格报告作为付款必备条件和质保期起算的依据。</w:t>
      </w:r>
    </w:p>
    <w:p>
      <w:pPr>
        <w:spacing w:line="360" w:lineRule="auto"/>
        <w:ind w:firstLine="480" w:firstLineChars="200"/>
        <w:rPr>
          <w:rFonts w:hint="eastAsia" w:ascii="宋体" w:hAnsi="宋体"/>
          <w:sz w:val="24"/>
          <w:szCs w:val="24"/>
        </w:rPr>
      </w:pPr>
      <w:r>
        <w:rPr>
          <w:rFonts w:hint="eastAsia" w:ascii="宋体" w:hAnsi="宋体"/>
          <w:color w:val="auto"/>
          <w:sz w:val="24"/>
          <w:szCs w:val="24"/>
        </w:rPr>
        <w:t>4、在合同约定工期内没通过正式验收合</w:t>
      </w:r>
      <w:r>
        <w:rPr>
          <w:rFonts w:hint="eastAsia" w:ascii="宋体" w:hAnsi="宋体"/>
          <w:sz w:val="24"/>
          <w:szCs w:val="24"/>
        </w:rPr>
        <w:t>格，采购人不退还履约保证金，并按第五篇的相应条款进行处理。</w:t>
      </w:r>
    </w:p>
    <w:p>
      <w:pPr>
        <w:pStyle w:val="5"/>
        <w:spacing w:before="120" w:after="0" w:line="360" w:lineRule="auto"/>
        <w:jc w:val="left"/>
        <w:rPr>
          <w:rFonts w:hint="eastAsia" w:ascii="宋体" w:hAnsi="宋体"/>
          <w:sz w:val="28"/>
          <w:szCs w:val="28"/>
        </w:rPr>
      </w:pPr>
      <w:r>
        <w:rPr>
          <w:rFonts w:hint="eastAsia" w:ascii="宋体" w:hAnsi="宋体"/>
          <w:sz w:val="28"/>
          <w:szCs w:val="28"/>
        </w:rPr>
        <w:t>三、报价要求</w:t>
      </w:r>
    </w:p>
    <w:p>
      <w:pPr>
        <w:spacing w:line="360" w:lineRule="auto"/>
        <w:ind w:firstLine="480" w:firstLineChars="200"/>
        <w:rPr>
          <w:rFonts w:hint="eastAsia" w:ascii="宋体" w:hAnsi="宋体"/>
          <w:sz w:val="24"/>
          <w:szCs w:val="24"/>
        </w:rPr>
      </w:pPr>
      <w:r>
        <w:rPr>
          <w:rFonts w:hint="eastAsia" w:ascii="宋体" w:hAnsi="宋体"/>
          <w:sz w:val="24"/>
          <w:szCs w:val="24"/>
        </w:rPr>
        <w:t>以人民币、总价包干方式报价，报价包含但不限于：软件费、实施费、培训费、</w:t>
      </w:r>
      <w:r>
        <w:rPr>
          <w:rFonts w:hint="eastAsia" w:ascii="宋体" w:hAnsi="宋体"/>
          <w:b/>
          <w:bCs/>
          <w:sz w:val="24"/>
          <w:szCs w:val="24"/>
        </w:rPr>
        <w:t>与采购人在用系统间的软件接口费</w:t>
      </w:r>
      <w:r>
        <w:rPr>
          <w:rFonts w:hint="eastAsia" w:ascii="宋体" w:hAnsi="宋体"/>
          <w:sz w:val="24"/>
          <w:szCs w:val="24"/>
        </w:rPr>
        <w:t>、质保期内售后服务费、税费等所有费用。</w:t>
      </w:r>
    </w:p>
    <w:p>
      <w:pPr>
        <w:pStyle w:val="5"/>
        <w:spacing w:before="120" w:after="0" w:line="360" w:lineRule="auto"/>
        <w:jc w:val="left"/>
        <w:rPr>
          <w:rFonts w:hint="eastAsia" w:ascii="宋体" w:hAnsi="宋体"/>
          <w:sz w:val="28"/>
          <w:szCs w:val="28"/>
        </w:rPr>
      </w:pPr>
      <w:bookmarkStart w:id="32" w:name="_Toc441065665"/>
      <w:r>
        <w:rPr>
          <w:rFonts w:hint="eastAsia" w:ascii="宋体" w:hAnsi="宋体"/>
          <w:sz w:val="28"/>
          <w:szCs w:val="28"/>
        </w:rPr>
        <w:t>四、付款方式</w:t>
      </w:r>
    </w:p>
    <w:p>
      <w:pPr>
        <w:spacing w:line="360" w:lineRule="auto"/>
        <w:ind w:firstLine="480" w:firstLineChars="200"/>
        <w:rPr>
          <w:rFonts w:hint="eastAsia" w:ascii="宋体" w:hAnsi="宋体" w:eastAsia="宋体" w:cs="Times New Roman"/>
          <w:sz w:val="24"/>
          <w:szCs w:val="24"/>
        </w:rPr>
      </w:pPr>
      <w:r>
        <w:rPr>
          <w:rFonts w:hint="eastAsia" w:ascii="宋体" w:hAnsi="宋体"/>
          <w:sz w:val="24"/>
          <w:szCs w:val="24"/>
        </w:rPr>
        <w:t>1、</w:t>
      </w:r>
      <w:r>
        <w:rPr>
          <w:rFonts w:ascii="宋体" w:hAnsi="宋体"/>
          <w:sz w:val="24"/>
          <w:szCs w:val="24"/>
        </w:rPr>
        <w:t>签订合同前，中标人</w:t>
      </w:r>
      <w:r>
        <w:rPr>
          <w:rFonts w:ascii="宋体" w:hAnsi="宋体"/>
          <w:color w:val="auto"/>
          <w:sz w:val="24"/>
          <w:szCs w:val="24"/>
        </w:rPr>
        <w:t>向采购人合同中约定账户转账</w:t>
      </w:r>
      <w:r>
        <w:rPr>
          <w:rFonts w:ascii="宋体" w:hAnsi="宋体" w:eastAsia="宋体" w:cs="Times New Roman"/>
          <w:color w:val="auto"/>
          <w:sz w:val="24"/>
          <w:szCs w:val="24"/>
        </w:rPr>
        <w:t>支付中标金额的10%作为履约保证金</w:t>
      </w:r>
      <w:r>
        <w:rPr>
          <w:rFonts w:hint="eastAsia" w:ascii="宋体" w:hAnsi="宋体" w:eastAsia="宋体" w:cs="Times New Roman"/>
          <w:color w:val="auto"/>
          <w:sz w:val="24"/>
          <w:szCs w:val="24"/>
        </w:rPr>
        <w:t>，履约完毕且无待处理问题后15个工作日内甲方一次性无息退还。</w:t>
      </w:r>
    </w:p>
    <w:p>
      <w:pPr>
        <w:spacing w:line="360" w:lineRule="auto"/>
        <w:ind w:firstLine="480" w:firstLineChars="200"/>
        <w:rPr>
          <w:rFonts w:hint="eastAsia" w:ascii="宋体" w:hAnsi="宋体"/>
          <w:sz w:val="24"/>
          <w:szCs w:val="24"/>
        </w:rPr>
      </w:pPr>
      <w:r>
        <w:rPr>
          <w:rFonts w:hint="eastAsia" w:ascii="宋体" w:hAnsi="宋体"/>
          <w:sz w:val="24"/>
          <w:szCs w:val="24"/>
        </w:rPr>
        <w:t>2、项目验收合格后30个工作日内，甲方凭发票、合同、验收报告以转账方式向乙方支付合同全款。</w:t>
      </w:r>
    </w:p>
    <w:p>
      <w:pPr>
        <w:pStyle w:val="5"/>
        <w:spacing w:before="120" w:after="0" w:line="360" w:lineRule="auto"/>
        <w:jc w:val="left"/>
        <w:rPr>
          <w:rFonts w:hint="eastAsia" w:ascii="宋体" w:hAnsi="宋体"/>
          <w:sz w:val="28"/>
          <w:szCs w:val="28"/>
        </w:rPr>
      </w:pPr>
      <w:r>
        <w:rPr>
          <w:rFonts w:hint="eastAsia" w:ascii="宋体" w:hAnsi="宋体"/>
          <w:sz w:val="28"/>
          <w:szCs w:val="28"/>
        </w:rPr>
        <w:t>五、知识产权</w:t>
      </w:r>
    </w:p>
    <w:p>
      <w:pPr>
        <w:spacing w:line="360" w:lineRule="auto"/>
        <w:ind w:firstLine="480" w:firstLineChars="200"/>
        <w:rPr>
          <w:rFonts w:hint="eastAsia" w:ascii="宋体" w:hAnsi="宋体"/>
          <w:sz w:val="24"/>
          <w:szCs w:val="24"/>
        </w:rPr>
      </w:pPr>
      <w:r>
        <w:rPr>
          <w:rFonts w:hint="eastAsia" w:ascii="宋体" w:hAnsi="宋体"/>
          <w:sz w:val="24"/>
          <w:szCs w:val="24"/>
        </w:rPr>
        <w:t>采购人在中华人民共和国境内使用成交供应商提供服务时免受第三方提出的侵犯其专利权或其它知识产权的起诉。如果第三方提出侵权指控，成交供应商应承担由此而引起的一切法律责任和费用。</w:t>
      </w:r>
    </w:p>
    <w:p>
      <w:pPr>
        <w:pStyle w:val="5"/>
        <w:spacing w:before="120" w:after="0" w:line="360" w:lineRule="auto"/>
        <w:jc w:val="left"/>
        <w:rPr>
          <w:rFonts w:hint="eastAsia" w:ascii="宋体" w:hAnsi="宋体"/>
          <w:sz w:val="28"/>
          <w:szCs w:val="28"/>
        </w:rPr>
      </w:pPr>
      <w:r>
        <w:rPr>
          <w:rFonts w:hint="eastAsia" w:ascii="宋体" w:hAnsi="宋体"/>
          <w:sz w:val="28"/>
          <w:szCs w:val="28"/>
        </w:rPr>
        <w:t>六、培训</w:t>
      </w:r>
    </w:p>
    <w:p>
      <w:pPr>
        <w:spacing w:line="360" w:lineRule="auto"/>
        <w:ind w:firstLine="480" w:firstLineChars="200"/>
        <w:rPr>
          <w:rFonts w:hint="eastAsia" w:ascii="宋体" w:hAnsi="宋体"/>
          <w:sz w:val="24"/>
          <w:szCs w:val="24"/>
        </w:rPr>
      </w:pPr>
      <w:r>
        <w:rPr>
          <w:rFonts w:hint="eastAsia" w:ascii="宋体" w:hAnsi="宋体"/>
          <w:sz w:val="24"/>
          <w:szCs w:val="24"/>
        </w:rPr>
        <w:t>按采购人提出的培训项目、内容及要求定。</w:t>
      </w:r>
    </w:p>
    <w:p>
      <w:pPr>
        <w:pStyle w:val="5"/>
        <w:spacing w:before="120" w:after="0" w:line="360" w:lineRule="auto"/>
        <w:jc w:val="left"/>
        <w:rPr>
          <w:rFonts w:hint="eastAsia" w:ascii="宋体" w:hAnsi="宋体"/>
          <w:sz w:val="28"/>
          <w:szCs w:val="28"/>
        </w:rPr>
      </w:pPr>
      <w:r>
        <w:rPr>
          <w:rFonts w:hint="eastAsia" w:ascii="宋体" w:hAnsi="宋体"/>
          <w:sz w:val="28"/>
          <w:szCs w:val="28"/>
        </w:rPr>
        <w:t>七、其他</w:t>
      </w:r>
    </w:p>
    <w:p>
      <w:pPr>
        <w:spacing w:line="360" w:lineRule="auto"/>
        <w:ind w:firstLine="480" w:firstLineChars="200"/>
        <w:rPr>
          <w:rFonts w:hint="eastAsia" w:ascii="宋体" w:hAnsi="宋体"/>
          <w:sz w:val="24"/>
          <w:szCs w:val="24"/>
        </w:rPr>
      </w:pPr>
      <w:r>
        <w:rPr>
          <w:rFonts w:hint="eastAsia" w:ascii="宋体" w:hAnsi="宋体"/>
          <w:sz w:val="24"/>
          <w:szCs w:val="24"/>
        </w:rPr>
        <w:t>1.供应商必须在响应文件中对以上条款和服务承诺明确列出，承诺内容必须达到本篇及磋商文件其他条款的要求。</w:t>
      </w:r>
    </w:p>
    <w:p>
      <w:pPr>
        <w:spacing w:line="360" w:lineRule="auto"/>
        <w:ind w:firstLine="480" w:firstLineChars="200"/>
        <w:rPr>
          <w:rFonts w:hint="eastAsia" w:ascii="宋体" w:hAnsi="宋体"/>
          <w:szCs w:val="28"/>
        </w:rPr>
      </w:pPr>
      <w:r>
        <w:rPr>
          <w:rFonts w:hint="eastAsia" w:ascii="宋体" w:hAnsi="宋体"/>
          <w:sz w:val="24"/>
          <w:szCs w:val="24"/>
        </w:rPr>
        <w:t>2.其他未尽事宜由供需双方在采购合同中详细约定。</w:t>
      </w:r>
    </w:p>
    <w:p>
      <w:pPr>
        <w:ind w:firstLine="480" w:firstLineChars="200"/>
        <w:rPr>
          <w:rFonts w:ascii="宋体" w:hAnsi="宋体"/>
          <w:sz w:val="24"/>
          <w:szCs w:val="28"/>
        </w:rPr>
      </w:pPr>
      <w:r>
        <w:rPr>
          <w:rFonts w:hint="eastAsia" w:ascii="宋体" w:hAnsi="宋体"/>
          <w:sz w:val="24"/>
          <w:szCs w:val="28"/>
        </w:rPr>
        <w:t xml:space="preserve"> </w:t>
      </w:r>
      <w:bookmarkEnd w:id="32"/>
    </w:p>
    <w:p>
      <w:pPr>
        <w:rPr>
          <w:rFonts w:hint="eastAsia" w:ascii="宋体" w:hAnsi="宋体" w:cs="宋体"/>
          <w:kern w:val="0"/>
        </w:rPr>
      </w:pPr>
      <w:r>
        <w:rPr>
          <w:rFonts w:ascii="宋体" w:hAnsi="宋体"/>
        </w:rPr>
        <w:br w:type="page"/>
      </w:r>
    </w:p>
    <w:p>
      <w:pPr>
        <w:pStyle w:val="3"/>
        <w:spacing w:before="0" w:beforeLines="0" w:after="0" w:afterLines="0" w:line="276" w:lineRule="auto"/>
        <w:jc w:val="both"/>
        <w:rPr>
          <w:rFonts w:hint="eastAsia" w:ascii="宋体" w:hAnsi="宋体" w:eastAsia="宋体"/>
        </w:rPr>
      </w:pPr>
      <w:bookmarkStart w:id="33" w:name="_Toc26115"/>
      <w:r>
        <w:rPr>
          <w:rFonts w:hint="eastAsia" w:ascii="宋体" w:hAnsi="宋体" w:eastAsia="宋体"/>
        </w:rPr>
        <w:t>第三篇  评审程序、评审方法和评审标准</w:t>
      </w:r>
      <w:bookmarkEnd w:id="33"/>
    </w:p>
    <w:p>
      <w:pPr>
        <w:pStyle w:val="4"/>
        <w:spacing w:line="276" w:lineRule="auto"/>
        <w:rPr>
          <w:rFonts w:hint="eastAsia"/>
          <w:b/>
          <w:sz w:val="24"/>
          <w:szCs w:val="24"/>
        </w:rPr>
      </w:pPr>
      <w:bookmarkStart w:id="34" w:name="_Toc441065674"/>
      <w:bookmarkStart w:id="35" w:name="_Toc2510"/>
      <w:r>
        <w:rPr>
          <w:rFonts w:hint="eastAsia"/>
          <w:b/>
          <w:sz w:val="24"/>
          <w:szCs w:val="24"/>
        </w:rPr>
        <w:t>一、</w:t>
      </w:r>
      <w:bookmarkEnd w:id="34"/>
      <w:r>
        <w:rPr>
          <w:rFonts w:hint="eastAsia"/>
          <w:b/>
          <w:sz w:val="24"/>
          <w:szCs w:val="24"/>
        </w:rPr>
        <w:t>评审程序</w:t>
      </w:r>
      <w:bookmarkEnd w:id="35"/>
    </w:p>
    <w:p>
      <w:pPr>
        <w:spacing w:line="276" w:lineRule="auto"/>
        <w:rPr>
          <w:rFonts w:hint="eastAsia" w:ascii="宋体" w:hAnsi="宋体" w:cs="宋体"/>
          <w:kern w:val="0"/>
          <w:sz w:val="24"/>
          <w:szCs w:val="24"/>
        </w:rPr>
      </w:pPr>
      <w:r>
        <w:rPr>
          <w:rFonts w:hint="eastAsia" w:ascii="宋体" w:hAnsi="宋体"/>
        </w:rPr>
        <w:t xml:space="preserve">    </w:t>
      </w:r>
      <w:r>
        <w:rPr>
          <w:rFonts w:hint="eastAsia" w:ascii="宋体" w:hAnsi="宋体" w:cs="宋体"/>
          <w:kern w:val="0"/>
          <w:sz w:val="24"/>
          <w:szCs w:val="24"/>
        </w:rPr>
        <w:t>评审工作由采购人主持，具体评审工作由采购人依法组建的竞争性磋商小组负责。磋商小组到位后，推举其中一位评审专家担任评审组长，并由评审组长牵头组织该项目评审工作。磋商小组按以下程序独立履行评审职责：</w:t>
      </w:r>
    </w:p>
    <w:p>
      <w:pPr>
        <w:snapToGrid w:val="0"/>
        <w:spacing w:line="276" w:lineRule="auto"/>
        <w:ind w:firstLine="480" w:firstLineChars="200"/>
        <w:rPr>
          <w:rFonts w:hint="eastAsia" w:ascii="宋体" w:hAnsi="宋体" w:cs="宋体"/>
          <w:kern w:val="0"/>
          <w:sz w:val="24"/>
          <w:szCs w:val="24"/>
        </w:rPr>
      </w:pPr>
      <w:r>
        <w:rPr>
          <w:rFonts w:hint="eastAsia" w:ascii="宋体" w:hAnsi="宋体" w:cs="宋体"/>
          <w:kern w:val="0"/>
          <w:sz w:val="24"/>
          <w:szCs w:val="24"/>
        </w:rPr>
        <w:t>1、资格性检查。依据法律法规和磋商文件的规定，对响应文件中的供应商营业执照、组织机构代码证、税务登记证（见注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）、诚信声明、特定资格条件证明文件、供应商法定代表人身份证明书和授权代表委托书身份证明等进行审查，以确定供应商是否具备竞争性磋商资格。</w:t>
      </w:r>
    </w:p>
    <w:p>
      <w:pPr>
        <w:snapToGrid w:val="0"/>
        <w:spacing w:line="276" w:lineRule="auto"/>
        <w:ind w:firstLine="480" w:firstLineChars="200"/>
        <w:rPr>
          <w:rFonts w:hint="eastAsia" w:ascii="宋体" w:hAnsi="宋体" w:cs="宋体"/>
          <w:kern w:val="0"/>
          <w:sz w:val="24"/>
          <w:szCs w:val="24"/>
        </w:rPr>
      </w:pPr>
      <w:r>
        <w:rPr>
          <w:rFonts w:hint="eastAsia" w:ascii="宋体" w:hAnsi="宋体" w:cs="宋体"/>
          <w:kern w:val="0"/>
          <w:sz w:val="24"/>
          <w:szCs w:val="24"/>
        </w:rPr>
        <w:t>注：</w:t>
      </w:r>
    </w:p>
    <w:p>
      <w:pPr>
        <w:snapToGrid w:val="0"/>
        <w:spacing w:line="276" w:lineRule="auto"/>
        <w:ind w:firstLine="480" w:firstLineChars="200"/>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以联合体参与磋商的，共同参与协议中应确定主办方（主体），</w:t>
      </w:r>
      <w:r>
        <w:rPr>
          <w:rFonts w:hint="eastAsia" w:ascii="宋体" w:hAnsi="宋体"/>
          <w:sz w:val="24"/>
        </w:rPr>
        <w:t>代表联合体进行磋商和澄清。</w:t>
      </w:r>
      <w:r>
        <w:rPr>
          <w:rFonts w:hint="eastAsia" w:ascii="宋体" w:hAnsi="宋体" w:cs="宋体"/>
          <w:kern w:val="0"/>
          <w:sz w:val="24"/>
          <w:szCs w:val="24"/>
        </w:rPr>
        <w:t>联合体各方均应满足供应商资格要求（详见“第一篇”）。</w:t>
      </w:r>
    </w:p>
    <w:p>
      <w:pPr>
        <w:snapToGrid w:val="0"/>
        <w:spacing w:line="276" w:lineRule="auto"/>
        <w:ind w:firstLine="480" w:firstLineChars="200"/>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供应商按“多证合一”登记制度办理营业执照的，组织机构代码证、税务登记证（副本）和社会保险登记证以投标人所提供的营业执照（副本）复印件为准。</w:t>
      </w:r>
    </w:p>
    <w:p>
      <w:pPr>
        <w:snapToGrid w:val="0"/>
        <w:spacing w:line="276" w:lineRule="auto"/>
        <w:ind w:firstLine="480" w:firstLineChars="200"/>
        <w:rPr>
          <w:rFonts w:hint="eastAsia" w:ascii="宋体" w:hAnsi="宋体" w:cs="宋体"/>
          <w:kern w:val="0"/>
          <w:sz w:val="24"/>
          <w:szCs w:val="24"/>
        </w:rPr>
      </w:pPr>
      <w:r>
        <w:rPr>
          <w:rFonts w:hint="eastAsia" w:ascii="宋体" w:hAnsi="宋体" w:cs="宋体"/>
          <w:kern w:val="0"/>
          <w:sz w:val="24"/>
          <w:szCs w:val="24"/>
        </w:rPr>
        <w:t>2、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276" w:lineRule="auto"/>
        <w:rPr>
          <w:rFonts w:hint="eastAsia" w:ascii="宋体" w:hAnsi="宋体"/>
          <w:sz w:val="24"/>
          <w:szCs w:val="24"/>
        </w:rPr>
      </w:pPr>
      <w:r>
        <w:rPr>
          <w:rFonts w:hint="eastAsia" w:ascii="宋体" w:hAnsi="宋体" w:cs="宋体"/>
          <w:kern w:val="0"/>
          <w:sz w:val="24"/>
          <w:szCs w:val="24"/>
        </w:rPr>
        <w:t xml:space="preserve">    3、符合性检查。依据磋商文件的规定，从响应文件的有效性、完整性和对磋商文件的响应程度进行审查，以确定是否对磋商文件的实质性要求作出响应。</w:t>
      </w:r>
    </w:p>
    <w:p>
      <w:pPr>
        <w:snapToGrid w:val="0"/>
        <w:spacing w:line="276" w:lineRule="auto"/>
        <w:ind w:firstLine="480" w:firstLineChars="200"/>
        <w:rPr>
          <w:rFonts w:hint="eastAsia" w:ascii="宋体" w:hAnsi="宋体"/>
          <w:sz w:val="24"/>
          <w:szCs w:val="24"/>
        </w:rPr>
      </w:pPr>
      <w:r>
        <w:rPr>
          <w:rFonts w:hint="eastAsia" w:ascii="宋体" w:hAnsi="宋体" w:cs="方正仿宋_GBK"/>
          <w:sz w:val="24"/>
          <w:szCs w:val="24"/>
        </w:rPr>
        <w:t>4、对响应文件的有效性、完整性和响应程度进行审查结束后。竞争性磋商小组所有成员按签到顺序集中与单一供应商分别进行磋商。</w:t>
      </w:r>
    </w:p>
    <w:p>
      <w:pPr>
        <w:snapToGrid w:val="0"/>
        <w:spacing w:line="276" w:lineRule="auto"/>
        <w:rPr>
          <w:rFonts w:hint="eastAsia" w:ascii="宋体" w:hAnsi="宋体"/>
          <w:sz w:val="24"/>
          <w:szCs w:val="24"/>
        </w:rPr>
      </w:pPr>
      <w:r>
        <w:rPr>
          <w:rFonts w:hint="eastAsia" w:ascii="宋体" w:hAnsi="宋体"/>
          <w:sz w:val="24"/>
          <w:szCs w:val="24"/>
        </w:rPr>
        <w:t xml:space="preserve">    5、澄清有关问题。对响应文件中含义不明确、同类问题表述不一致或者有明显文字和计算错误的内容，磋商小组可以书面形式（应当由磋商小组成员签字）要求供应商作出必要澄清、说明或者纠正。供应商的澄清、说明或者补正应当采用书面形式，由其法定代表人授权代表签字，其澄清的内容不得超出响应文件的范围或者改变响应文件的实质性内容。</w:t>
      </w:r>
    </w:p>
    <w:p>
      <w:pPr>
        <w:spacing w:line="276" w:lineRule="auto"/>
        <w:rPr>
          <w:rFonts w:hint="eastAsia" w:ascii="宋体" w:hAnsi="宋体" w:cs="方正仿宋_GBK"/>
          <w:sz w:val="24"/>
          <w:szCs w:val="24"/>
        </w:rPr>
      </w:pPr>
      <w:r>
        <w:rPr>
          <w:rFonts w:hint="eastAsia" w:ascii="宋体" w:hAnsi="宋体" w:cs="方正仿宋_GBK"/>
          <w:sz w:val="24"/>
          <w:szCs w:val="24"/>
        </w:rPr>
        <w:t xml:space="preserve">   6、在磋商过程中，竞争性磋商小组可以根据磋商文件和磋商情况实质性变动采购需求中的技术、服务要求以及合同草案条款，但不得变动磋商文件中的其他内容。实质性变动的内容，须经采购人代表确认。</w:t>
      </w:r>
    </w:p>
    <w:p>
      <w:pPr>
        <w:spacing w:line="276" w:lineRule="auto"/>
        <w:ind w:firstLine="480" w:firstLineChars="200"/>
        <w:rPr>
          <w:rFonts w:hint="eastAsia" w:ascii="宋体" w:hAnsi="宋体" w:cs="方正仿宋_GBK"/>
          <w:b/>
          <w:bCs/>
          <w:sz w:val="24"/>
          <w:szCs w:val="24"/>
        </w:rPr>
      </w:pPr>
      <w:r>
        <w:rPr>
          <w:rFonts w:hint="eastAsia" w:ascii="宋体" w:hAnsi="宋体" w:cs="方正仿宋_GBK"/>
          <w:sz w:val="24"/>
          <w:szCs w:val="24"/>
        </w:rPr>
        <w:t>实质性变动的内容作为磋商文件的有效组成部分，磋商小组应当及时以书面形式同时通知所有参加谈判磋商的供应商。</w:t>
      </w:r>
    </w:p>
    <w:p>
      <w:pPr>
        <w:spacing w:line="276" w:lineRule="auto"/>
        <w:ind w:firstLine="480" w:firstLineChars="200"/>
        <w:rPr>
          <w:rFonts w:hint="eastAsia" w:ascii="宋体" w:hAnsi="宋体" w:cs="方正仿宋_GBK"/>
          <w:sz w:val="24"/>
          <w:szCs w:val="24"/>
        </w:rPr>
      </w:pPr>
      <w:r>
        <w:rPr>
          <w:rFonts w:hint="eastAsia" w:ascii="宋体" w:hAnsi="宋体" w:cs="方正仿宋_GBK"/>
          <w:sz w:val="24"/>
          <w:szCs w:val="24"/>
        </w:rPr>
        <w:t>7、供应商应当按照磋商文件的变动情况和磋商小组的要求作出相应的承诺，并由其法定代表人或授权代表签字或者加盖公章。若供应商需重新制定设计方案或解决方案，重新提交响应文件的，磋商小组应确定重新提交响应文件的时间和提交方式，并以书面的形式通知。</w:t>
      </w:r>
    </w:p>
    <w:p>
      <w:pPr>
        <w:spacing w:line="276" w:lineRule="auto"/>
        <w:ind w:firstLine="480" w:firstLineChars="200"/>
        <w:rPr>
          <w:rFonts w:hint="eastAsia" w:ascii="宋体" w:hAnsi="宋体" w:cs="方正仿宋_GBK"/>
          <w:sz w:val="24"/>
          <w:szCs w:val="24"/>
        </w:rPr>
      </w:pPr>
      <w:r>
        <w:rPr>
          <w:rFonts w:hint="eastAsia" w:ascii="宋体" w:hAnsi="宋体" w:cs="方正仿宋_GBK"/>
          <w:sz w:val="24"/>
          <w:szCs w:val="24"/>
        </w:rPr>
        <w:t>8、最后报价</w:t>
      </w:r>
    </w:p>
    <w:p>
      <w:pPr>
        <w:spacing w:line="276" w:lineRule="auto"/>
        <w:ind w:firstLine="482" w:firstLineChars="200"/>
        <w:rPr>
          <w:rFonts w:hint="eastAsia" w:ascii="宋体" w:hAnsi="宋体" w:cs="方正仿宋_GBK"/>
          <w:b/>
          <w:bCs/>
          <w:sz w:val="24"/>
          <w:szCs w:val="24"/>
          <w:u w:val="single"/>
        </w:rPr>
      </w:pPr>
      <w:r>
        <w:rPr>
          <w:rFonts w:hint="eastAsia" w:ascii="宋体" w:hAnsi="宋体" w:cs="方正仿宋_GBK"/>
          <w:b/>
          <w:bCs/>
          <w:sz w:val="24"/>
          <w:szCs w:val="24"/>
          <w:u w:val="single"/>
        </w:rPr>
        <w:t>能够详细列明采购标的的技术、服务要求的：</w:t>
      </w:r>
    </w:p>
    <w:p>
      <w:pPr>
        <w:spacing w:line="276" w:lineRule="auto"/>
        <w:ind w:firstLine="480" w:firstLineChars="200"/>
        <w:rPr>
          <w:rFonts w:hint="eastAsia" w:ascii="宋体" w:hAnsi="宋体" w:cs="方正仿宋_GBK"/>
          <w:sz w:val="24"/>
          <w:szCs w:val="24"/>
        </w:rPr>
      </w:pPr>
      <w:r>
        <w:rPr>
          <w:rFonts w:hint="eastAsia" w:ascii="宋体" w:hAnsi="宋体" w:cs="方正仿宋_GBK"/>
          <w:sz w:val="24"/>
          <w:szCs w:val="24"/>
        </w:rPr>
        <w:t>磋商结束后，磋商小组应当要求所有实质性响应的供应商在规定时间内提交最后报价，最后报价是供应商响应文件的有效组成部分。填写最后报价由其法定代表人或授权代表签字或者加盖公章。最后报价是供应商响应文件有效组成部分。</w:t>
      </w:r>
    </w:p>
    <w:p>
      <w:pPr>
        <w:spacing w:line="276" w:lineRule="auto"/>
        <w:ind w:firstLine="482" w:firstLineChars="200"/>
        <w:rPr>
          <w:rFonts w:hint="eastAsia" w:ascii="宋体" w:hAnsi="宋体" w:cs="方正仿宋_GBK"/>
          <w:b/>
          <w:bCs/>
          <w:sz w:val="24"/>
          <w:szCs w:val="24"/>
          <w:u w:val="single"/>
        </w:rPr>
      </w:pPr>
      <w:r>
        <w:rPr>
          <w:rFonts w:hint="eastAsia" w:ascii="宋体" w:hAnsi="宋体" w:cs="方正仿宋_GBK"/>
          <w:b/>
          <w:bCs/>
          <w:sz w:val="24"/>
          <w:szCs w:val="24"/>
          <w:u w:val="single"/>
        </w:rPr>
        <w:t>不能够详细列明采购标的的技术、服务要求的，需经磋商由供应商提供最终设计方案或解决方案的：</w:t>
      </w:r>
    </w:p>
    <w:p>
      <w:pPr>
        <w:spacing w:line="276" w:lineRule="auto"/>
        <w:ind w:firstLine="480" w:firstLineChars="200"/>
        <w:rPr>
          <w:rFonts w:hint="eastAsia" w:ascii="宋体" w:hAnsi="宋体" w:cs="方正仿宋_GBK"/>
          <w:sz w:val="24"/>
          <w:szCs w:val="24"/>
        </w:rPr>
      </w:pPr>
      <w:r>
        <w:rPr>
          <w:rFonts w:hint="eastAsia" w:ascii="宋体" w:hAnsi="宋体" w:cs="方正仿宋_GBK"/>
          <w:sz w:val="24"/>
          <w:szCs w:val="24"/>
        </w:rPr>
        <w:t>磋商小组应当按照少数服从多数的原则投票推荐3家以上供应商的设计方案和解决方案，并要求其在规定时间内提交最后报价。填写最后报价由其法定代表人或授权代表签字或者加盖公章。最后报价是供应商响应文件有效组成部分。</w:t>
      </w:r>
    </w:p>
    <w:p>
      <w:pPr>
        <w:spacing w:line="276" w:lineRule="auto"/>
        <w:ind w:firstLine="480" w:firstLineChars="200"/>
        <w:rPr>
          <w:rFonts w:hint="eastAsia" w:ascii="宋体" w:hAnsi="宋体"/>
          <w:sz w:val="24"/>
          <w:szCs w:val="24"/>
        </w:rPr>
      </w:pPr>
      <w:r>
        <w:rPr>
          <w:rFonts w:hint="eastAsia" w:ascii="宋体" w:hAnsi="宋体" w:cs="方正仿宋_GBK"/>
          <w:sz w:val="24"/>
          <w:szCs w:val="24"/>
        </w:rPr>
        <w:t>9、经磋商确定最终采购需求和提交最后报价的供应商后，由磋商小组采用综合评分法对提交最后报价的供应商的响应文件和最后报价进行综合评分。</w:t>
      </w:r>
    </w:p>
    <w:p>
      <w:pPr>
        <w:pStyle w:val="4"/>
        <w:spacing w:line="276" w:lineRule="auto"/>
        <w:ind w:firstLine="482" w:firstLineChars="200"/>
        <w:rPr>
          <w:rFonts w:hint="eastAsia"/>
          <w:b/>
          <w:sz w:val="24"/>
          <w:szCs w:val="24"/>
        </w:rPr>
      </w:pPr>
      <w:bookmarkStart w:id="36" w:name="_Toc6342"/>
      <w:r>
        <w:rPr>
          <w:rFonts w:hint="eastAsia"/>
          <w:b/>
          <w:sz w:val="24"/>
          <w:szCs w:val="24"/>
        </w:rPr>
        <w:t>二、评审方法</w:t>
      </w:r>
      <w:bookmarkEnd w:id="36"/>
    </w:p>
    <w:p>
      <w:pPr>
        <w:snapToGrid w:val="0"/>
        <w:spacing w:line="276" w:lineRule="auto"/>
        <w:ind w:firstLine="480" w:firstLineChars="200"/>
        <w:rPr>
          <w:rFonts w:hint="eastAsia" w:ascii="宋体" w:hAnsi="宋体" w:cs="宋体"/>
          <w:kern w:val="0"/>
          <w:sz w:val="24"/>
          <w:szCs w:val="24"/>
        </w:rPr>
      </w:pPr>
      <w:r>
        <w:rPr>
          <w:rFonts w:hint="eastAsia" w:ascii="宋体" w:hAnsi="宋体" w:cs="宋体"/>
          <w:kern w:val="0"/>
          <w:sz w:val="24"/>
          <w:szCs w:val="24"/>
        </w:rPr>
        <w:t>1、本项目采用综合评分法进行评分。综合评分法，是指响应文件满足磋商文件全部实质性要求且按照评审因素的量化指标评审得分最高的为成交候选供应商的评审方法。供应商总得分为价格、商务、技术等评定因素分别按照相应权重值计算分项得分后相加，满分为100分。</w:t>
      </w:r>
    </w:p>
    <w:p>
      <w:pPr>
        <w:snapToGrid w:val="0"/>
        <w:spacing w:line="276" w:lineRule="auto"/>
        <w:ind w:firstLine="480" w:firstLineChars="200"/>
        <w:rPr>
          <w:rFonts w:hint="eastAsia" w:ascii="宋体" w:hAnsi="宋体"/>
          <w:sz w:val="24"/>
          <w:szCs w:val="24"/>
        </w:rPr>
      </w:pPr>
      <w:r>
        <w:rPr>
          <w:rFonts w:hint="eastAsia" w:ascii="宋体" w:hAnsi="宋体"/>
          <w:sz w:val="24"/>
          <w:szCs w:val="24"/>
        </w:rPr>
        <w:t>2、磋商小组各成员独立对每个有效供应商的响应文件进行评价、打分，然后由组长组织磋商小组对各成员打分情况进行核查及复核，个别成员对同一供应商同一评分项的打分偏离较大的，应对供应商的响应文件进行再次核对，确属打分有误的，应及时进行修正。</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复核后，磋商小组汇总每个供应商每项评分因素的得分。</w:t>
      </w:r>
    </w:p>
    <w:p>
      <w:pPr>
        <w:snapToGrid w:val="0"/>
        <w:spacing w:line="276" w:lineRule="auto"/>
        <w:ind w:firstLine="480" w:firstLineChars="200"/>
        <w:rPr>
          <w:rFonts w:hint="eastAsia" w:ascii="宋体" w:hAnsi="宋体"/>
          <w:b/>
          <w:sz w:val="24"/>
          <w:szCs w:val="24"/>
        </w:rPr>
      </w:pPr>
      <w:r>
        <w:rPr>
          <w:rFonts w:hint="eastAsia" w:ascii="宋体" w:hAnsi="宋体"/>
          <w:sz w:val="24"/>
          <w:szCs w:val="24"/>
        </w:rPr>
        <w:t>3、推荐成交候选供应商名单。按评审后得分由高到低的排列顺序</w:t>
      </w:r>
      <w:r>
        <w:rPr>
          <w:rFonts w:hint="eastAsia" w:ascii="宋体" w:hAnsi="宋体" w:cs="宋体"/>
          <w:kern w:val="0"/>
          <w:sz w:val="24"/>
          <w:szCs w:val="24"/>
        </w:rPr>
        <w:t>推荐综合得分排名前三的供应商为本分包（项目）成交候选供应商，</w:t>
      </w:r>
      <w:r>
        <w:rPr>
          <w:rFonts w:hint="eastAsia" w:ascii="宋体" w:hAnsi="宋体"/>
          <w:sz w:val="24"/>
          <w:szCs w:val="24"/>
        </w:rPr>
        <w:t>排名第一的为第一成交候选供应商。若综合得分相同的，按最后报价由低到高顺序排列；若综合得分且最后报价相同的，按技术指标优劣顺序排列；若综合得分、最后报价、技术指标均相同的，按商务部分的优劣顺序排列。技术部分得分为0分的供应商，将失去成为成交候选供应商的资格。</w:t>
      </w:r>
      <w:r>
        <w:rPr>
          <w:rFonts w:hint="eastAsia" w:ascii="宋体" w:hAnsi="宋体"/>
          <w:sz w:val="24"/>
          <w:szCs w:val="24"/>
        </w:rPr>
        <w:br w:type="page"/>
      </w:r>
      <w:bookmarkStart w:id="37" w:name="_Toc267320057"/>
      <w:bookmarkStart w:id="38" w:name="_Toc441065675"/>
      <w:r>
        <w:rPr>
          <w:rFonts w:hint="eastAsia" w:ascii="宋体" w:hAnsi="宋体"/>
          <w:b/>
          <w:sz w:val="24"/>
          <w:szCs w:val="24"/>
        </w:rPr>
        <w:t>三、评审标准</w:t>
      </w:r>
      <w:bookmarkEnd w:id="37"/>
      <w:bookmarkEnd w:id="38"/>
    </w:p>
    <w:p>
      <w:pPr>
        <w:snapToGrid w:val="0"/>
        <w:spacing w:line="276" w:lineRule="auto"/>
        <w:ind w:firstLine="482" w:firstLineChars="200"/>
        <w:rPr>
          <w:rFonts w:hint="eastAsia" w:ascii="宋体" w:hAnsi="宋体"/>
          <w:b/>
          <w:sz w:val="24"/>
          <w:szCs w:val="24"/>
        </w:rPr>
      </w:pPr>
    </w:p>
    <w:tbl>
      <w:tblPr>
        <w:tblStyle w:val="58"/>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67"/>
        <w:gridCol w:w="542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04" w:type="dxa"/>
            <w:noWrap w:val="0"/>
            <w:vAlign w:val="center"/>
          </w:tcPr>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分类</w:t>
            </w:r>
          </w:p>
        </w:tc>
        <w:tc>
          <w:tcPr>
            <w:tcW w:w="1067" w:type="dxa"/>
            <w:noWrap w:val="0"/>
            <w:vAlign w:val="center"/>
          </w:tcPr>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评分项</w:t>
            </w:r>
          </w:p>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及权重</w:t>
            </w:r>
          </w:p>
        </w:tc>
        <w:tc>
          <w:tcPr>
            <w:tcW w:w="5427" w:type="dxa"/>
            <w:noWrap w:val="0"/>
            <w:vAlign w:val="center"/>
          </w:tcPr>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评分标准</w:t>
            </w:r>
          </w:p>
        </w:tc>
        <w:tc>
          <w:tcPr>
            <w:tcW w:w="1771" w:type="dxa"/>
            <w:noWrap w:val="0"/>
            <w:vAlign w:val="center"/>
          </w:tcPr>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804" w:type="dxa"/>
            <w:noWrap w:val="0"/>
            <w:vAlign w:val="center"/>
          </w:tcPr>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1.</w:t>
            </w:r>
          </w:p>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经济</w:t>
            </w:r>
          </w:p>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部分</w:t>
            </w:r>
          </w:p>
          <w:p>
            <w:pPr>
              <w:widowControl/>
              <w:jc w:val="center"/>
              <w:rPr>
                <w:rFonts w:hint="eastAsia" w:ascii="宋体" w:hAnsi="宋体" w:cs="宋体"/>
                <w:b/>
                <w:color w:val="auto"/>
                <w:kern w:val="0"/>
                <w:sz w:val="21"/>
                <w:szCs w:val="21"/>
              </w:rPr>
            </w:pPr>
            <w:r>
              <w:rPr>
                <w:rFonts w:hint="eastAsia" w:ascii="宋体" w:hAnsi="宋体" w:cs="宋体"/>
                <w:b/>
                <w:bCs/>
                <w:color w:val="auto"/>
                <w:kern w:val="0"/>
                <w:sz w:val="21"/>
                <w:szCs w:val="21"/>
              </w:rPr>
              <w:t>（20%）</w:t>
            </w:r>
          </w:p>
        </w:tc>
        <w:tc>
          <w:tcPr>
            <w:tcW w:w="106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经济分</w:t>
            </w:r>
          </w:p>
          <w:p>
            <w:pPr>
              <w:jc w:val="center"/>
              <w:rPr>
                <w:rFonts w:hint="eastAsia" w:ascii="方正仿宋_GBK" w:hAnsi="宋体" w:eastAsia="方正仿宋_GBK"/>
                <w:color w:val="auto"/>
                <w:sz w:val="21"/>
                <w:szCs w:val="21"/>
              </w:rPr>
            </w:pPr>
            <w:r>
              <w:rPr>
                <w:rFonts w:hint="eastAsia" w:ascii="宋体" w:hAnsi="宋体" w:eastAsia="宋体" w:cs="宋体"/>
                <w:color w:val="auto"/>
                <w:sz w:val="21"/>
                <w:szCs w:val="21"/>
              </w:rPr>
              <w:t>（20）</w:t>
            </w:r>
          </w:p>
        </w:tc>
        <w:tc>
          <w:tcPr>
            <w:tcW w:w="5427" w:type="dxa"/>
            <w:noWrap w:val="0"/>
            <w:vAlign w:val="center"/>
          </w:tcPr>
          <w:p>
            <w:pPr>
              <w:spacing w:line="276" w:lineRule="auto"/>
              <w:ind w:firstLine="399" w:firstLineChars="190"/>
              <w:rPr>
                <w:rFonts w:hint="eastAsia" w:ascii="宋体" w:hAnsi="宋体"/>
                <w:color w:val="auto"/>
                <w:sz w:val="21"/>
                <w:szCs w:val="21"/>
              </w:rPr>
            </w:pPr>
            <w:r>
              <w:rPr>
                <w:rFonts w:hint="eastAsia" w:ascii="宋体" w:hAnsi="宋体"/>
                <w:color w:val="auto"/>
                <w:sz w:val="21"/>
                <w:szCs w:val="21"/>
              </w:rPr>
              <w:t>满足磋商文件要求且最后报价最低的供应商的价格为磋商基准价，其价格分为满分，其他供应商的价格分按照下列公式计算。</w:t>
            </w:r>
          </w:p>
          <w:p>
            <w:pPr>
              <w:widowControl/>
              <w:spacing w:line="276" w:lineRule="auto"/>
              <w:ind w:firstLine="399" w:firstLineChars="190"/>
              <w:jc w:val="left"/>
              <w:rPr>
                <w:rFonts w:hint="eastAsia" w:ascii="宋体" w:hAnsi="宋体" w:cs="宋体"/>
                <w:color w:val="auto"/>
                <w:kern w:val="0"/>
                <w:sz w:val="21"/>
                <w:szCs w:val="21"/>
              </w:rPr>
            </w:pPr>
            <w:r>
              <w:rPr>
                <w:rFonts w:hint="eastAsia" w:ascii="宋体" w:hAnsi="宋体"/>
                <w:color w:val="auto"/>
                <w:sz w:val="21"/>
                <w:szCs w:val="21"/>
              </w:rPr>
              <w:t>磋商报价得分＝（磋商基准价/最后磋商报价）×价格权重×100。</w:t>
            </w:r>
          </w:p>
        </w:tc>
        <w:tc>
          <w:tcPr>
            <w:tcW w:w="1771" w:type="dxa"/>
            <w:noWrap w:val="0"/>
            <w:vAlign w:val="center"/>
          </w:tcPr>
          <w:p>
            <w:pPr>
              <w:spacing w:line="276" w:lineRule="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对小型和微型企业产品的价格给予6%-10%的扣除，用扣除后的价格参与评审。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restart"/>
            <w:noWrap w:val="0"/>
            <w:vAlign w:val="center"/>
          </w:tcPr>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2.</w:t>
            </w:r>
          </w:p>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商务</w:t>
            </w:r>
          </w:p>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部分</w:t>
            </w:r>
          </w:p>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(20%)</w:t>
            </w:r>
          </w:p>
        </w:tc>
        <w:tc>
          <w:tcPr>
            <w:tcW w:w="106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系统安全认证（</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p>
        </w:tc>
        <w:tc>
          <w:tcPr>
            <w:tcW w:w="5427" w:type="dxa"/>
            <w:noWrap w:val="0"/>
            <w:vAlign w:val="center"/>
          </w:tcPr>
          <w:p>
            <w:pPr>
              <w:spacing w:line="276" w:lineRule="auto"/>
              <w:ind w:firstLine="399" w:firstLineChars="190"/>
              <w:rPr>
                <w:rFonts w:hint="eastAsia" w:ascii="宋体" w:hAnsi="宋体"/>
                <w:color w:val="auto"/>
                <w:sz w:val="21"/>
                <w:szCs w:val="21"/>
              </w:rPr>
            </w:pPr>
            <w:r>
              <w:rPr>
                <w:rFonts w:hint="eastAsia" w:ascii="宋体" w:hAnsi="宋体"/>
                <w:color w:val="auto"/>
                <w:sz w:val="21"/>
                <w:szCs w:val="21"/>
              </w:rPr>
              <w:t>投标人的“</w:t>
            </w:r>
            <w:r>
              <w:rPr>
                <w:rFonts w:hint="eastAsia" w:ascii="宋体" w:hAnsi="宋体"/>
                <w:color w:val="auto"/>
                <w:sz w:val="21"/>
                <w:szCs w:val="21"/>
                <w:lang w:val="en-US" w:eastAsia="zh-CN"/>
              </w:rPr>
              <w:t>慢性肾脏病管理系统</w:t>
            </w:r>
            <w:r>
              <w:rPr>
                <w:rFonts w:hint="eastAsia" w:ascii="宋体" w:hAnsi="宋体"/>
                <w:color w:val="auto"/>
                <w:sz w:val="21"/>
                <w:szCs w:val="21"/>
              </w:rPr>
              <w:t>”产品通过</w:t>
            </w:r>
            <w:r>
              <w:rPr>
                <w:rFonts w:hint="eastAsia" w:ascii="宋体" w:hAnsi="宋体"/>
                <w:color w:val="auto"/>
                <w:sz w:val="21"/>
                <w:szCs w:val="21"/>
                <w:lang w:val="en-US" w:eastAsia="zh-CN"/>
              </w:rPr>
              <w:t>国家</w:t>
            </w:r>
            <w:r>
              <w:rPr>
                <w:rFonts w:hint="eastAsia" w:ascii="宋体" w:hAnsi="宋体"/>
                <w:color w:val="auto"/>
                <w:sz w:val="21"/>
                <w:szCs w:val="21"/>
              </w:rPr>
              <w:t>信息系统安全等级保护第三级测评，提供信息系统安全等级保护备案证明的得</w:t>
            </w:r>
            <w:r>
              <w:rPr>
                <w:rFonts w:hint="eastAsia" w:ascii="宋体" w:hAnsi="宋体"/>
                <w:color w:val="auto"/>
                <w:sz w:val="21"/>
                <w:szCs w:val="21"/>
                <w:lang w:val="en-US" w:eastAsia="zh-CN"/>
              </w:rPr>
              <w:t>8</w:t>
            </w:r>
            <w:r>
              <w:rPr>
                <w:rFonts w:hint="eastAsia" w:ascii="宋体" w:hAnsi="宋体"/>
                <w:color w:val="auto"/>
                <w:sz w:val="21"/>
                <w:szCs w:val="21"/>
              </w:rPr>
              <w:t>分，不提供得0分。</w:t>
            </w:r>
          </w:p>
        </w:tc>
        <w:tc>
          <w:tcPr>
            <w:tcW w:w="1771" w:type="dxa"/>
            <w:noWrap w:val="0"/>
            <w:vAlign w:val="center"/>
          </w:tcPr>
          <w:p>
            <w:pPr>
              <w:rPr>
                <w:rFonts w:hint="eastAsia" w:ascii="宋体" w:hAnsi="宋体"/>
                <w:color w:val="auto"/>
                <w:sz w:val="21"/>
                <w:szCs w:val="21"/>
              </w:rPr>
            </w:pPr>
            <w:r>
              <w:rPr>
                <w:rFonts w:hint="eastAsia" w:ascii="宋体" w:hAnsi="宋体"/>
                <w:color w:val="auto"/>
                <w:sz w:val="21"/>
                <w:szCs w:val="21"/>
              </w:rPr>
              <w:t>以投标文件中提供加盖鲜章的相应</w:t>
            </w:r>
            <w:r>
              <w:rPr>
                <w:rFonts w:hint="eastAsia" w:ascii="宋体" w:hAnsi="宋体"/>
                <w:color w:val="auto"/>
                <w:sz w:val="21"/>
                <w:szCs w:val="21"/>
                <w:lang w:val="en-US" w:eastAsia="zh-CN"/>
              </w:rPr>
              <w:t>备案</w:t>
            </w:r>
            <w:r>
              <w:rPr>
                <w:rFonts w:hint="eastAsia" w:ascii="宋体" w:hAnsi="宋体"/>
                <w:color w:val="auto"/>
                <w:sz w:val="21"/>
                <w:szCs w:val="21"/>
              </w:rPr>
              <w:t>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4" w:type="dxa"/>
            <w:vMerge w:val="continue"/>
            <w:noWrap w:val="0"/>
            <w:vAlign w:val="center"/>
          </w:tcPr>
          <w:p>
            <w:pPr>
              <w:rPr>
                <w:rFonts w:ascii="宋体" w:hAnsi="宋体"/>
                <w:color w:val="auto"/>
                <w:sz w:val="21"/>
                <w:szCs w:val="21"/>
              </w:rPr>
            </w:pPr>
          </w:p>
        </w:tc>
        <w:tc>
          <w:tcPr>
            <w:tcW w:w="106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售后服务和质保期（2）</w:t>
            </w:r>
          </w:p>
        </w:tc>
        <w:tc>
          <w:tcPr>
            <w:tcW w:w="5427" w:type="dxa"/>
            <w:noWrap w:val="0"/>
            <w:vAlign w:val="center"/>
          </w:tcPr>
          <w:p>
            <w:pPr>
              <w:spacing w:line="276" w:lineRule="auto"/>
              <w:ind w:firstLine="399" w:firstLineChars="190"/>
              <w:rPr>
                <w:rFonts w:hint="eastAsia" w:ascii="宋体" w:hAnsi="宋体"/>
                <w:color w:val="auto"/>
                <w:sz w:val="21"/>
                <w:szCs w:val="21"/>
              </w:rPr>
            </w:pPr>
            <w:r>
              <w:rPr>
                <w:rFonts w:hint="eastAsia" w:ascii="宋体" w:hAnsi="宋体"/>
                <w:color w:val="auto"/>
                <w:sz w:val="21"/>
                <w:szCs w:val="21"/>
              </w:rPr>
              <w:t>提供详尽、合理的售后服务计划，对服务方式、现场的支持、服务报告、服务等级、质量保证期等因素综合评价，投标方案横向对比，优得2分，良得1分，差得0分。</w:t>
            </w:r>
          </w:p>
        </w:tc>
        <w:tc>
          <w:tcPr>
            <w:tcW w:w="1771" w:type="dxa"/>
            <w:noWrap w:val="0"/>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4" w:type="dxa"/>
            <w:vMerge w:val="continue"/>
            <w:noWrap w:val="0"/>
            <w:vAlign w:val="center"/>
          </w:tcPr>
          <w:p>
            <w:pPr>
              <w:rPr>
                <w:rFonts w:ascii="宋体" w:hAnsi="宋体"/>
                <w:color w:val="auto"/>
                <w:sz w:val="21"/>
                <w:szCs w:val="21"/>
              </w:rPr>
            </w:pPr>
          </w:p>
        </w:tc>
        <w:tc>
          <w:tcPr>
            <w:tcW w:w="106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本地技术服务（</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p>
        </w:tc>
        <w:tc>
          <w:tcPr>
            <w:tcW w:w="5427" w:type="dxa"/>
            <w:noWrap w:val="0"/>
            <w:vAlign w:val="center"/>
          </w:tcPr>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投标人在重庆地区设有独立法人资格的技术服务机构的得</w:t>
            </w:r>
            <w:r>
              <w:rPr>
                <w:rFonts w:hint="eastAsia" w:ascii="宋体" w:hAnsi="宋体"/>
                <w:color w:val="auto"/>
                <w:sz w:val="21"/>
                <w:szCs w:val="21"/>
                <w:lang w:val="en-US" w:eastAsia="zh-CN"/>
              </w:rPr>
              <w:t>2</w:t>
            </w:r>
            <w:r>
              <w:rPr>
                <w:rFonts w:hint="eastAsia" w:ascii="宋体" w:hAnsi="宋体"/>
                <w:color w:val="auto"/>
                <w:sz w:val="21"/>
                <w:szCs w:val="21"/>
              </w:rPr>
              <w:t>分，没有不得分；</w:t>
            </w:r>
          </w:p>
        </w:tc>
        <w:tc>
          <w:tcPr>
            <w:tcW w:w="1771" w:type="dxa"/>
            <w:noWrap w:val="0"/>
            <w:vAlign w:val="center"/>
          </w:tcPr>
          <w:p>
            <w:pPr>
              <w:rPr>
                <w:rFonts w:ascii="宋体" w:hAnsi="宋体"/>
                <w:color w:val="auto"/>
                <w:sz w:val="21"/>
                <w:szCs w:val="21"/>
              </w:rPr>
            </w:pPr>
            <w:r>
              <w:rPr>
                <w:rFonts w:hint="eastAsia" w:ascii="宋体" w:hAnsi="宋体"/>
                <w:color w:val="auto"/>
                <w:sz w:val="21"/>
                <w:szCs w:val="21"/>
              </w:rPr>
              <w:t>投标人须提供在渝工商注册证明和近三个月在渝为员工缴纳社保的证明材料（原件备查）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4" w:type="dxa"/>
            <w:vMerge w:val="continue"/>
            <w:noWrap w:val="0"/>
            <w:vAlign w:val="center"/>
          </w:tcPr>
          <w:p>
            <w:pPr>
              <w:rPr>
                <w:rFonts w:ascii="宋体" w:hAnsi="宋体"/>
                <w:color w:val="auto"/>
                <w:sz w:val="21"/>
                <w:szCs w:val="21"/>
              </w:rPr>
            </w:pPr>
          </w:p>
        </w:tc>
        <w:tc>
          <w:tcPr>
            <w:tcW w:w="106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企业案例（</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p>
        </w:tc>
        <w:tc>
          <w:tcPr>
            <w:tcW w:w="5427" w:type="dxa"/>
            <w:noWrap w:val="0"/>
            <w:vAlign w:val="center"/>
          </w:tcPr>
          <w:p>
            <w:pPr>
              <w:spacing w:line="276" w:lineRule="auto"/>
              <w:ind w:firstLine="399" w:firstLineChars="190"/>
              <w:jc w:val="left"/>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val="en-US" w:eastAsia="zh-CN"/>
              </w:rPr>
              <w:t>重庆市范围内有重点三甲医院慢性肾脏病管理</w:t>
            </w:r>
            <w:r>
              <w:rPr>
                <w:rFonts w:hint="eastAsia" w:ascii="宋体" w:hAnsi="宋体"/>
                <w:color w:val="auto"/>
                <w:sz w:val="21"/>
                <w:szCs w:val="21"/>
              </w:rPr>
              <w:t>软件</w:t>
            </w:r>
            <w:r>
              <w:rPr>
                <w:rFonts w:hint="eastAsia" w:ascii="宋体" w:hAnsi="宋体"/>
                <w:color w:val="auto"/>
                <w:sz w:val="21"/>
                <w:szCs w:val="21"/>
                <w:lang w:val="en-US" w:eastAsia="zh-CN"/>
              </w:rPr>
              <w:t>部署成功案例</w:t>
            </w:r>
            <w:r>
              <w:rPr>
                <w:rFonts w:hint="eastAsia" w:ascii="宋体" w:hAnsi="宋体"/>
                <w:color w:val="auto"/>
                <w:sz w:val="21"/>
                <w:szCs w:val="21"/>
              </w:rPr>
              <w:t>，每个得</w:t>
            </w:r>
            <w:r>
              <w:rPr>
                <w:rFonts w:hint="eastAsia" w:ascii="宋体" w:hAnsi="宋体"/>
                <w:color w:val="auto"/>
                <w:sz w:val="21"/>
                <w:szCs w:val="21"/>
                <w:lang w:val="en-US" w:eastAsia="zh-CN"/>
              </w:rPr>
              <w:t>2</w:t>
            </w:r>
            <w:r>
              <w:rPr>
                <w:rFonts w:hint="eastAsia" w:ascii="宋体" w:hAnsi="宋体"/>
                <w:color w:val="auto"/>
                <w:sz w:val="21"/>
                <w:szCs w:val="21"/>
              </w:rPr>
              <w:t>分，最多得</w:t>
            </w:r>
            <w:r>
              <w:rPr>
                <w:rFonts w:hint="eastAsia" w:ascii="宋体" w:hAnsi="宋体"/>
                <w:color w:val="auto"/>
                <w:sz w:val="21"/>
                <w:szCs w:val="21"/>
                <w:lang w:val="en-US" w:eastAsia="zh-CN"/>
              </w:rPr>
              <w:t>6</w:t>
            </w:r>
            <w:r>
              <w:rPr>
                <w:rFonts w:hint="eastAsia" w:ascii="宋体" w:hAnsi="宋体"/>
                <w:color w:val="auto"/>
                <w:sz w:val="21"/>
                <w:szCs w:val="21"/>
              </w:rPr>
              <w:t>分。</w:t>
            </w:r>
          </w:p>
          <w:p>
            <w:pPr>
              <w:spacing w:line="276" w:lineRule="auto"/>
              <w:ind w:firstLine="399" w:firstLineChars="190"/>
              <w:jc w:val="left"/>
              <w:rPr>
                <w:rFonts w:hint="eastAsia" w:ascii="宋体" w:hAnsi="宋体"/>
                <w:color w:val="auto"/>
                <w:sz w:val="21"/>
                <w:szCs w:val="21"/>
              </w:rPr>
            </w:pPr>
            <w:r>
              <w:rPr>
                <w:rFonts w:hint="eastAsia" w:ascii="宋体" w:hAnsi="宋体"/>
                <w:color w:val="auto"/>
                <w:sz w:val="21"/>
                <w:szCs w:val="21"/>
              </w:rPr>
              <w:t>2、近三年有</w:t>
            </w:r>
            <w:r>
              <w:rPr>
                <w:rFonts w:hint="eastAsia" w:ascii="宋体" w:hAnsi="宋体"/>
                <w:color w:val="auto"/>
                <w:sz w:val="21"/>
                <w:szCs w:val="21"/>
                <w:lang w:val="en-US" w:eastAsia="zh-CN"/>
              </w:rPr>
              <w:t>其他</w:t>
            </w:r>
            <w:r>
              <w:rPr>
                <w:rFonts w:hint="eastAsia" w:ascii="宋体" w:hAnsi="宋体"/>
                <w:color w:val="auto"/>
                <w:sz w:val="21"/>
                <w:szCs w:val="21"/>
              </w:rPr>
              <w:t>三甲医院</w:t>
            </w:r>
            <w:r>
              <w:rPr>
                <w:rFonts w:hint="eastAsia" w:ascii="宋体" w:hAnsi="宋体"/>
                <w:color w:val="auto"/>
                <w:sz w:val="21"/>
                <w:szCs w:val="21"/>
                <w:lang w:val="en-US" w:eastAsia="zh-CN"/>
              </w:rPr>
              <w:t>慢性肾脏病管理</w:t>
            </w:r>
            <w:r>
              <w:rPr>
                <w:rFonts w:hint="eastAsia" w:ascii="宋体" w:hAnsi="宋体"/>
                <w:color w:val="auto"/>
                <w:sz w:val="21"/>
                <w:szCs w:val="21"/>
              </w:rPr>
              <w:t>软件项目实施案例每个得0.5分，最多得</w:t>
            </w:r>
            <w:r>
              <w:rPr>
                <w:rFonts w:hint="eastAsia" w:ascii="宋体" w:hAnsi="宋体"/>
                <w:color w:val="auto"/>
                <w:sz w:val="21"/>
                <w:szCs w:val="21"/>
                <w:lang w:val="en-US" w:eastAsia="zh-CN"/>
              </w:rPr>
              <w:t>2</w:t>
            </w:r>
            <w:r>
              <w:rPr>
                <w:rFonts w:hint="eastAsia" w:ascii="宋体" w:hAnsi="宋体"/>
                <w:color w:val="auto"/>
                <w:sz w:val="21"/>
                <w:szCs w:val="21"/>
              </w:rPr>
              <w:t>分。</w:t>
            </w:r>
          </w:p>
        </w:tc>
        <w:tc>
          <w:tcPr>
            <w:tcW w:w="1771" w:type="dxa"/>
            <w:noWrap w:val="0"/>
            <w:vAlign w:val="center"/>
          </w:tcPr>
          <w:p>
            <w:pPr>
              <w:rPr>
                <w:rFonts w:ascii="宋体" w:hAnsi="宋体"/>
                <w:color w:val="auto"/>
                <w:sz w:val="21"/>
                <w:szCs w:val="21"/>
              </w:rPr>
            </w:pPr>
            <w:r>
              <w:rPr>
                <w:rFonts w:hint="eastAsia" w:ascii="宋体" w:hAnsi="宋体"/>
                <w:color w:val="auto"/>
                <w:sz w:val="21"/>
                <w:szCs w:val="21"/>
              </w:rPr>
              <w:t>以加盖鲜章的字迹清晰的合同复印件为准，且提供合同采购方联系人及电话供现场核实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04" w:type="dxa"/>
            <w:vMerge w:val="restart"/>
            <w:noWrap w:val="0"/>
            <w:vAlign w:val="center"/>
          </w:tcPr>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3.</w:t>
            </w:r>
          </w:p>
          <w:p>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技术部分</w:t>
            </w:r>
          </w:p>
          <w:p>
            <w:pPr>
              <w:widowControl/>
              <w:jc w:val="center"/>
              <w:rPr>
                <w:rFonts w:hint="eastAsia" w:ascii="宋体" w:hAnsi="宋体"/>
                <w:color w:val="auto"/>
                <w:sz w:val="21"/>
                <w:szCs w:val="21"/>
              </w:rPr>
            </w:pPr>
            <w:r>
              <w:rPr>
                <w:rFonts w:hint="eastAsia" w:ascii="宋体" w:hAnsi="宋体" w:cs="宋体"/>
                <w:b/>
                <w:bCs/>
                <w:color w:val="auto"/>
                <w:kern w:val="0"/>
                <w:sz w:val="21"/>
                <w:szCs w:val="21"/>
              </w:rPr>
              <w:t>(60%)</w:t>
            </w:r>
          </w:p>
        </w:tc>
        <w:tc>
          <w:tcPr>
            <w:tcW w:w="106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技术方案</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5427" w:type="dxa"/>
            <w:noWrap w:val="0"/>
            <w:vAlign w:val="center"/>
          </w:tcPr>
          <w:p>
            <w:pPr>
              <w:spacing w:line="276" w:lineRule="auto"/>
              <w:ind w:firstLine="399" w:firstLineChars="190"/>
              <w:jc w:val="left"/>
              <w:rPr>
                <w:rFonts w:hint="eastAsia" w:ascii="宋体" w:hAnsi="宋体"/>
                <w:color w:val="auto"/>
                <w:sz w:val="21"/>
                <w:szCs w:val="21"/>
              </w:rPr>
            </w:pPr>
            <w:r>
              <w:rPr>
                <w:rFonts w:hint="eastAsia" w:ascii="宋体" w:hAnsi="宋体"/>
                <w:color w:val="auto"/>
                <w:sz w:val="21"/>
                <w:szCs w:val="21"/>
              </w:rPr>
              <w:t>投标方案是否具备完整合理的设计，主要包括但不限于：（1）业务需求分析；（2）总体架构设计；（3）整体技术解决方案。对投标方方案横向对比，优得20-30分，良得10-19分，一般得4-9分，差得0分。</w:t>
            </w:r>
          </w:p>
        </w:tc>
        <w:tc>
          <w:tcPr>
            <w:tcW w:w="1771" w:type="dxa"/>
            <w:noWrap w:val="0"/>
            <w:vAlign w:val="center"/>
          </w:tcPr>
          <w:p>
            <w:pPr>
              <w:spacing w:line="276" w:lineRule="auto"/>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04" w:type="dxa"/>
            <w:vMerge w:val="continue"/>
            <w:noWrap w:val="0"/>
            <w:vAlign w:val="center"/>
          </w:tcPr>
          <w:p>
            <w:pPr>
              <w:spacing w:line="276" w:lineRule="auto"/>
              <w:rPr>
                <w:rFonts w:hint="eastAsia" w:ascii="宋体" w:hAnsi="宋体"/>
                <w:color w:val="auto"/>
                <w:sz w:val="21"/>
                <w:szCs w:val="21"/>
              </w:rPr>
            </w:pPr>
          </w:p>
        </w:tc>
        <w:tc>
          <w:tcPr>
            <w:tcW w:w="106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技术参数满足度</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5427" w:type="dxa"/>
            <w:noWrap w:val="0"/>
            <w:vAlign w:val="center"/>
          </w:tcPr>
          <w:p>
            <w:pPr>
              <w:spacing w:line="276" w:lineRule="auto"/>
              <w:ind w:firstLine="399" w:firstLineChars="190"/>
              <w:jc w:val="left"/>
              <w:rPr>
                <w:rFonts w:hint="eastAsia" w:ascii="宋体" w:hAnsi="宋体"/>
                <w:color w:val="auto"/>
                <w:sz w:val="21"/>
                <w:szCs w:val="21"/>
                <w:lang w:val="zh-CN"/>
              </w:rPr>
            </w:pPr>
            <w:r>
              <w:rPr>
                <w:rFonts w:hint="eastAsia" w:ascii="宋体" w:hAnsi="宋体"/>
                <w:color w:val="auto"/>
                <w:sz w:val="21"/>
                <w:szCs w:val="21"/>
                <w:lang w:val="zh-CN"/>
              </w:rPr>
              <w:t>1、一般性技术参数（非★号标注的部分）达不到招标文件要求的,每负偏离一条扣</w:t>
            </w:r>
            <w:r>
              <w:rPr>
                <w:rFonts w:hint="eastAsia" w:ascii="宋体" w:hAnsi="宋体"/>
                <w:color w:val="auto"/>
                <w:sz w:val="21"/>
                <w:szCs w:val="21"/>
              </w:rPr>
              <w:t>1</w:t>
            </w:r>
            <w:r>
              <w:rPr>
                <w:rFonts w:hint="eastAsia" w:ascii="宋体" w:hAnsi="宋体"/>
                <w:color w:val="auto"/>
                <w:sz w:val="21"/>
                <w:szCs w:val="21"/>
                <w:lang w:val="zh-CN"/>
              </w:rPr>
              <w:t>分，扣完为止；</w:t>
            </w:r>
          </w:p>
          <w:p>
            <w:pPr>
              <w:spacing w:line="276" w:lineRule="auto"/>
              <w:ind w:firstLine="399" w:firstLineChars="190"/>
              <w:jc w:val="left"/>
              <w:rPr>
                <w:rFonts w:hint="eastAsia" w:ascii="宋体" w:hAnsi="宋体"/>
                <w:color w:val="auto"/>
                <w:sz w:val="21"/>
                <w:szCs w:val="21"/>
              </w:rPr>
            </w:pPr>
            <w:r>
              <w:rPr>
                <w:rFonts w:hint="eastAsia" w:ascii="宋体" w:hAnsi="宋体"/>
                <w:color w:val="auto"/>
                <w:sz w:val="21"/>
                <w:szCs w:val="21"/>
                <w:lang w:val="zh-CN"/>
              </w:rPr>
              <w:t>2、</w:t>
            </w:r>
            <w:r>
              <w:rPr>
                <w:rFonts w:hint="eastAsia" w:ascii="宋体" w:hAnsi="宋体"/>
                <w:color w:val="auto"/>
                <w:sz w:val="21"/>
                <w:szCs w:val="21"/>
              </w:rPr>
              <w:t>带有★的项为基本要求，每项不能满足扣5分，直到扣完技术总分（即60分）为止。</w:t>
            </w:r>
          </w:p>
          <w:p>
            <w:pPr>
              <w:spacing w:line="276" w:lineRule="auto"/>
              <w:ind w:firstLine="399" w:firstLineChars="190"/>
              <w:jc w:val="left"/>
              <w:rPr>
                <w:rFonts w:hint="eastAsia" w:ascii="宋体" w:hAnsi="宋体"/>
                <w:color w:val="auto"/>
                <w:sz w:val="21"/>
                <w:szCs w:val="21"/>
              </w:rPr>
            </w:pPr>
            <w:r>
              <w:rPr>
                <w:rFonts w:hint="eastAsia" w:ascii="宋体" w:hAnsi="宋体"/>
                <w:color w:val="auto"/>
                <w:sz w:val="21"/>
                <w:szCs w:val="21"/>
              </w:rPr>
              <w:t>注：加★号的技术参数，以提供技术实现的方案及截图、评委认为可以实现为准。</w:t>
            </w:r>
          </w:p>
        </w:tc>
        <w:tc>
          <w:tcPr>
            <w:tcW w:w="1771" w:type="dxa"/>
            <w:noWrap w:val="0"/>
            <w:vAlign w:val="center"/>
          </w:tcPr>
          <w:p>
            <w:pPr>
              <w:spacing w:line="276" w:lineRule="auto"/>
              <w:rPr>
                <w:rFonts w:hint="eastAsia" w:ascii="宋体" w:hAnsi="宋体" w:eastAsia="宋体"/>
                <w:color w:val="auto"/>
                <w:sz w:val="21"/>
                <w:szCs w:val="21"/>
                <w:lang w:eastAsia="zh-CN"/>
              </w:rPr>
            </w:pPr>
            <w:r>
              <w:rPr>
                <w:rFonts w:hint="eastAsia" w:ascii="宋体" w:hAnsi="宋体"/>
                <w:color w:val="FF0000"/>
                <w:sz w:val="21"/>
                <w:szCs w:val="21"/>
              </w:rPr>
              <w:t>带有★的项</w:t>
            </w:r>
            <w:r>
              <w:rPr>
                <w:rFonts w:hint="eastAsia" w:ascii="宋体" w:hAnsi="宋体"/>
                <w:color w:val="FF0000"/>
                <w:sz w:val="21"/>
                <w:szCs w:val="21"/>
                <w:lang w:eastAsia="zh-CN"/>
              </w:rPr>
              <w:t>，以加盖投标人鲜章的清晰的软件截截图为准，不清晰或无截图都按不满足定。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04" w:type="dxa"/>
            <w:vMerge w:val="continue"/>
            <w:noWrap w:val="0"/>
            <w:vAlign w:val="center"/>
          </w:tcPr>
          <w:p>
            <w:pPr>
              <w:spacing w:line="276" w:lineRule="auto"/>
              <w:rPr>
                <w:rFonts w:hint="eastAsia" w:ascii="宋体" w:hAnsi="宋体"/>
                <w:color w:val="auto"/>
                <w:sz w:val="21"/>
                <w:szCs w:val="21"/>
              </w:rPr>
            </w:pPr>
          </w:p>
        </w:tc>
        <w:tc>
          <w:tcPr>
            <w:tcW w:w="106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项目实施管理（5）</w:t>
            </w:r>
          </w:p>
        </w:tc>
        <w:tc>
          <w:tcPr>
            <w:tcW w:w="5427" w:type="dxa"/>
            <w:noWrap w:val="0"/>
            <w:vAlign w:val="center"/>
          </w:tcPr>
          <w:p>
            <w:pPr>
              <w:spacing w:line="276" w:lineRule="auto"/>
              <w:ind w:firstLine="399" w:firstLineChars="190"/>
              <w:jc w:val="left"/>
              <w:rPr>
                <w:rFonts w:hint="eastAsia" w:ascii="宋体" w:hAnsi="宋体"/>
                <w:color w:val="auto"/>
                <w:sz w:val="21"/>
                <w:szCs w:val="21"/>
              </w:rPr>
            </w:pPr>
            <w:r>
              <w:rPr>
                <w:rFonts w:hint="eastAsia" w:ascii="宋体" w:hAnsi="宋体"/>
                <w:color w:val="auto"/>
                <w:sz w:val="21"/>
                <w:szCs w:val="21"/>
              </w:rPr>
              <w:t>有完善的项目组织实施和管理方案，整个项目的实施组织机构、人员安排、实施计划有具体方案，分工合理、责任明确，可保障施工安全及进度。投标方方案横向对比，优得4-5分，良得2-3分，一般得1分，差得0分。</w:t>
            </w:r>
          </w:p>
        </w:tc>
        <w:tc>
          <w:tcPr>
            <w:tcW w:w="1771" w:type="dxa"/>
            <w:noWrap w:val="0"/>
            <w:vAlign w:val="center"/>
          </w:tcPr>
          <w:p>
            <w:pPr>
              <w:spacing w:line="276" w:lineRule="auto"/>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04" w:type="dxa"/>
            <w:vMerge w:val="continue"/>
            <w:noWrap w:val="0"/>
            <w:vAlign w:val="center"/>
          </w:tcPr>
          <w:p>
            <w:pPr>
              <w:spacing w:line="276" w:lineRule="auto"/>
              <w:rPr>
                <w:rFonts w:hint="eastAsia" w:ascii="宋体" w:hAnsi="宋体"/>
                <w:color w:val="auto"/>
                <w:sz w:val="21"/>
                <w:szCs w:val="21"/>
              </w:rPr>
            </w:pPr>
          </w:p>
        </w:tc>
        <w:tc>
          <w:tcPr>
            <w:tcW w:w="106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项目培训（5）</w:t>
            </w:r>
          </w:p>
        </w:tc>
        <w:tc>
          <w:tcPr>
            <w:tcW w:w="5427" w:type="dxa"/>
            <w:noWrap w:val="0"/>
            <w:vAlign w:val="center"/>
          </w:tcPr>
          <w:p>
            <w:pPr>
              <w:spacing w:line="276" w:lineRule="auto"/>
              <w:ind w:firstLine="399" w:firstLineChars="190"/>
              <w:jc w:val="left"/>
              <w:rPr>
                <w:rFonts w:hint="eastAsia" w:ascii="宋体" w:hAnsi="宋体"/>
                <w:color w:val="auto"/>
                <w:kern w:val="2"/>
                <w:sz w:val="21"/>
                <w:szCs w:val="21"/>
                <w:lang w:val="en-US" w:eastAsia="zh-CN" w:bidi="ar-SA"/>
              </w:rPr>
            </w:pPr>
            <w:r>
              <w:rPr>
                <w:rFonts w:hint="eastAsia" w:ascii="宋体" w:hAnsi="宋体"/>
                <w:color w:val="auto"/>
                <w:sz w:val="21"/>
                <w:szCs w:val="21"/>
              </w:rPr>
              <w:t>提供详尽的技术转移、运维支持培训计划、培训方案，内容包含培训时间安排和人员安排；方案清晰、具有可操作性。投标方方案横向对比，优得4-5分，良得2-3分，一般得1分，差得0分。</w:t>
            </w:r>
          </w:p>
        </w:tc>
        <w:tc>
          <w:tcPr>
            <w:tcW w:w="1771" w:type="dxa"/>
            <w:noWrap w:val="0"/>
            <w:vAlign w:val="center"/>
          </w:tcPr>
          <w:p>
            <w:pPr>
              <w:spacing w:line="276" w:lineRule="auto"/>
              <w:rPr>
                <w:rFonts w:hint="eastAsia" w:ascii="宋体" w:hAnsi="宋体"/>
                <w:color w:val="auto"/>
                <w:sz w:val="21"/>
                <w:szCs w:val="21"/>
              </w:rPr>
            </w:pPr>
          </w:p>
        </w:tc>
      </w:tr>
    </w:tbl>
    <w:p>
      <w:pPr>
        <w:snapToGrid w:val="0"/>
        <w:spacing w:line="276" w:lineRule="auto"/>
        <w:ind w:firstLine="482" w:firstLineChars="200"/>
        <w:rPr>
          <w:rFonts w:hint="eastAsia" w:ascii="宋体" w:hAnsi="宋体"/>
          <w:b/>
          <w:sz w:val="24"/>
          <w:szCs w:val="24"/>
        </w:rPr>
      </w:pPr>
    </w:p>
    <w:p>
      <w:pPr>
        <w:snapToGrid w:val="0"/>
        <w:spacing w:line="276" w:lineRule="auto"/>
        <w:ind w:firstLine="465"/>
        <w:rPr>
          <w:rFonts w:hint="eastAsia" w:ascii="宋体" w:hAnsi="宋体"/>
          <w:sz w:val="24"/>
          <w:szCs w:val="24"/>
        </w:rPr>
      </w:pPr>
      <w:bookmarkStart w:id="39" w:name="_Toc441065676"/>
      <w:r>
        <w:rPr>
          <w:rFonts w:hint="eastAsia" w:ascii="宋体" w:hAnsi="宋体"/>
          <w:sz w:val="24"/>
          <w:szCs w:val="24"/>
        </w:rPr>
        <w:t>说明：评标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napToGrid w:val="0"/>
        <w:spacing w:line="276" w:lineRule="auto"/>
        <w:ind w:firstLine="480" w:firstLineChars="200"/>
        <w:rPr>
          <w:rFonts w:hint="eastAsia" w:ascii="宋体" w:hAnsi="宋体"/>
          <w:sz w:val="24"/>
          <w:szCs w:val="24"/>
        </w:rPr>
      </w:pPr>
    </w:p>
    <w:p>
      <w:pPr>
        <w:snapToGrid w:val="0"/>
        <w:spacing w:line="276" w:lineRule="auto"/>
        <w:ind w:firstLine="480" w:firstLineChars="200"/>
        <w:rPr>
          <w:rFonts w:hint="eastAsia" w:ascii="宋体" w:hAnsi="宋体"/>
          <w:sz w:val="24"/>
          <w:szCs w:val="24"/>
        </w:rPr>
      </w:pPr>
      <w:r>
        <w:rPr>
          <w:rFonts w:hint="eastAsia" w:ascii="宋体" w:hAnsi="宋体"/>
          <w:sz w:val="24"/>
          <w:szCs w:val="24"/>
        </w:rPr>
        <w:t>（二）报价政策性扣减</w:t>
      </w:r>
    </w:p>
    <w:p>
      <w:pPr>
        <w:snapToGrid w:val="0"/>
        <w:spacing w:line="276" w:lineRule="auto"/>
        <w:ind w:firstLine="465"/>
        <w:rPr>
          <w:rFonts w:hint="eastAsia" w:ascii="宋体" w:hAnsi="宋体"/>
          <w:sz w:val="24"/>
          <w:szCs w:val="24"/>
        </w:rPr>
      </w:pPr>
      <w:r>
        <w:rPr>
          <w:rFonts w:hint="eastAsia" w:ascii="宋体" w:hAnsi="宋体"/>
          <w:sz w:val="24"/>
          <w:szCs w:val="24"/>
        </w:rPr>
        <w:t>1、关于小微企业：</w:t>
      </w:r>
    </w:p>
    <w:p>
      <w:pPr>
        <w:snapToGrid w:val="0"/>
        <w:spacing w:line="276" w:lineRule="auto"/>
        <w:ind w:firstLine="465"/>
        <w:rPr>
          <w:rFonts w:hint="eastAsia" w:ascii="宋体" w:hAnsi="宋体"/>
          <w:sz w:val="24"/>
          <w:szCs w:val="24"/>
        </w:rPr>
      </w:pPr>
      <w:r>
        <w:rPr>
          <w:rFonts w:hint="eastAsia" w:ascii="宋体" w:hAnsi="宋体"/>
          <w:sz w:val="24"/>
          <w:szCs w:val="24"/>
        </w:rPr>
        <w:t>按&lt;关于印发《政府采购促进中小企业发展暂行办法》的通知&gt;（财库〔2011〕181号）之规定，中小企业的标准为：</w:t>
      </w:r>
    </w:p>
    <w:p>
      <w:pPr>
        <w:snapToGrid w:val="0"/>
        <w:spacing w:line="276" w:lineRule="auto"/>
        <w:ind w:firstLine="465"/>
        <w:rPr>
          <w:rFonts w:hint="eastAsia" w:ascii="宋体" w:hAnsi="宋体"/>
          <w:sz w:val="24"/>
          <w:szCs w:val="24"/>
        </w:rPr>
      </w:pPr>
      <w:r>
        <w:rPr>
          <w:rFonts w:hint="eastAsia" w:ascii="宋体" w:hAnsi="宋体"/>
          <w:sz w:val="24"/>
          <w:szCs w:val="24"/>
        </w:rPr>
        <w:t>1.1提供本企业制造的货物、承担的工程或者服务，或者提供其他中小企业制造的货物，不包括提供或使用大型企业注册商标的货物。</w:t>
      </w:r>
    </w:p>
    <w:p>
      <w:pPr>
        <w:snapToGrid w:val="0"/>
        <w:spacing w:line="276" w:lineRule="auto"/>
        <w:ind w:firstLine="465"/>
        <w:rPr>
          <w:rFonts w:hint="eastAsia" w:ascii="宋体" w:hAnsi="宋体"/>
          <w:sz w:val="24"/>
          <w:szCs w:val="24"/>
        </w:rPr>
      </w:pPr>
      <w:r>
        <w:rPr>
          <w:rFonts w:hint="eastAsia" w:ascii="宋体" w:hAnsi="宋体"/>
          <w:sz w:val="24"/>
          <w:szCs w:val="24"/>
        </w:rPr>
        <w:t>1.2本规定所称中小企业划分标准按照《工业和信息化部、国家统计局、国家发展和改革委员会、财政部关于印发中小企业划型标准规定的通知》（工信部联企业〔2011〕300号）执行。若投标人认为本企业符合中小企业划分标准，且提供的标的物为本企业制造的货物、承担的工程或服务，须如实填写《中小微企业声明函》。若提供了其他企业制造的货物，且该企业符合《关于印发中小企业划型标准规定的通知》（工信部联企业〔2011〕300号）规定的中小企业划分标准的，还须提供制造商的《中小微企业声明函》原件（涉及多个制造商的，每个制造商均需出具）。中标的小微企业在评审过程中按照政府采购政策享受了报价扣除的，将在结果公告中公告企业类型。</w:t>
      </w:r>
    </w:p>
    <w:p>
      <w:pPr>
        <w:snapToGrid w:val="0"/>
        <w:spacing w:line="276" w:lineRule="auto"/>
        <w:ind w:firstLine="465"/>
        <w:rPr>
          <w:rFonts w:hint="eastAsia" w:ascii="宋体" w:hAnsi="宋体"/>
          <w:sz w:val="24"/>
          <w:szCs w:val="24"/>
        </w:rPr>
      </w:pPr>
      <w:r>
        <w:rPr>
          <w:rFonts w:hint="eastAsia" w:ascii="宋体" w:hAnsi="宋体"/>
          <w:sz w:val="24"/>
          <w:szCs w:val="24"/>
        </w:rPr>
        <w:t>1.3小型、微型企业提供有中型企业制造的货物的，视同为中型企业；小型、微型、中型企业提供有大型企业制造的货物的，视同为大型企业。</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2、具体投标报价扣除比例说明：</w:t>
      </w:r>
    </w:p>
    <w:p>
      <w:pPr>
        <w:snapToGrid w:val="0"/>
        <w:spacing w:line="276" w:lineRule="auto"/>
        <w:ind w:firstLine="465"/>
        <w:rPr>
          <w:rFonts w:hint="eastAsia" w:ascii="宋体" w:hAnsi="宋体" w:eastAsia="宋体"/>
          <w:color w:val="auto"/>
          <w:sz w:val="24"/>
          <w:szCs w:val="24"/>
          <w:lang w:eastAsia="zh-CN"/>
        </w:rPr>
      </w:pPr>
      <w:r>
        <w:rPr>
          <w:rFonts w:hint="eastAsia" w:ascii="宋体" w:hAnsi="宋体"/>
          <w:color w:val="auto"/>
          <w:sz w:val="24"/>
          <w:szCs w:val="24"/>
        </w:rPr>
        <w:t>2.1投标人为非联合体投标的，对</w:t>
      </w:r>
      <w:r>
        <w:rPr>
          <w:rFonts w:hint="eastAsia" w:ascii="宋体" w:hAnsi="宋体"/>
          <w:color w:val="auto"/>
          <w:sz w:val="24"/>
          <w:szCs w:val="24"/>
          <w:lang w:eastAsia="zh-CN"/>
        </w:rPr>
        <w:t>符合扣除条件的</w:t>
      </w:r>
      <w:r>
        <w:rPr>
          <w:rFonts w:hint="eastAsia" w:ascii="宋体" w:hAnsi="宋体"/>
          <w:color w:val="auto"/>
          <w:sz w:val="24"/>
          <w:szCs w:val="24"/>
        </w:rPr>
        <w:t>小型</w:t>
      </w:r>
      <w:r>
        <w:rPr>
          <w:rFonts w:hint="eastAsia" w:ascii="宋体" w:hAnsi="宋体"/>
          <w:color w:val="auto"/>
          <w:sz w:val="24"/>
          <w:szCs w:val="24"/>
          <w:lang w:eastAsia="zh-CN"/>
        </w:rPr>
        <w:t>或微型</w:t>
      </w:r>
      <w:r>
        <w:rPr>
          <w:rFonts w:hint="eastAsia" w:ascii="宋体" w:hAnsi="宋体"/>
          <w:color w:val="auto"/>
          <w:sz w:val="24"/>
          <w:szCs w:val="24"/>
        </w:rPr>
        <w:t>企业给予</w:t>
      </w:r>
      <w:r>
        <w:rPr>
          <w:rFonts w:hint="eastAsia" w:ascii="宋体" w:hAnsi="宋体"/>
          <w:color w:val="auto"/>
          <w:sz w:val="24"/>
          <w:szCs w:val="24"/>
          <w:lang w:val="en-US" w:eastAsia="zh-CN"/>
        </w:rPr>
        <w:t>8</w:t>
      </w:r>
      <w:r>
        <w:rPr>
          <w:rFonts w:hint="eastAsia" w:ascii="宋体" w:hAnsi="宋体"/>
          <w:color w:val="auto"/>
          <w:sz w:val="24"/>
          <w:szCs w:val="24"/>
        </w:rPr>
        <w:t>%的扣除</w:t>
      </w:r>
      <w:r>
        <w:rPr>
          <w:rFonts w:hint="eastAsia" w:ascii="宋体" w:hAnsi="宋体"/>
          <w:color w:val="auto"/>
          <w:sz w:val="24"/>
          <w:szCs w:val="24"/>
          <w:lang w:eastAsia="zh-CN"/>
        </w:rPr>
        <w:t>。</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2.3监狱企业、残疾人福利性单位属于微型企业的，应提供《中小微企业声明函》。未提供以上资料的监狱企业、残疾人福利性单位视同小型企业。</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备注：1、中标的小微企业在评审过程中按照政府采购政策享受了报价扣除的，将在结果公告中公告企业类型。</w:t>
      </w:r>
    </w:p>
    <w:p>
      <w:pPr>
        <w:snapToGrid w:val="0"/>
        <w:spacing w:line="276" w:lineRule="auto"/>
        <w:ind w:firstLine="465"/>
        <w:rPr>
          <w:rFonts w:hint="eastAsia" w:ascii="宋体" w:hAnsi="宋体"/>
          <w:sz w:val="24"/>
          <w:szCs w:val="24"/>
        </w:rPr>
      </w:pPr>
      <w:r>
        <w:rPr>
          <w:rFonts w:hint="eastAsia" w:ascii="宋体" w:hAnsi="宋体"/>
          <w:sz w:val="24"/>
          <w:szCs w:val="24"/>
        </w:rPr>
        <w:t>2、对于未如实填写《中小微企业声明函》的供应商，一经查实，将按政府采购法律法规进行处理。</w:t>
      </w:r>
    </w:p>
    <w:p>
      <w:pPr>
        <w:rPr>
          <w:rFonts w:ascii="宋体"/>
        </w:rPr>
      </w:pPr>
      <w:r>
        <w:rPr>
          <w:rFonts w:ascii="宋体"/>
        </w:rPr>
        <w:t>三、</w:t>
      </w:r>
      <w:bookmarkEnd w:id="39"/>
      <w:r>
        <w:rPr>
          <w:rFonts w:ascii="宋体"/>
        </w:rPr>
        <w:t>供应商或其响应文件出现下列情况之一者，应为无效：</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（一）供应商未按磋商文件规定提交磋商保证金的；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（二）供应商法定代表人或法人授权代表未按时参加磋商的；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（三）供应商未通过资格性检查或磋商文件未通过符合性检查的；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（四）报价超出招标文件规定的采购预算的（设定最高限价的不得超过最高限价）；</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（五）供应商超出其营业执照或事业单位法人证书上经营范围（业务范围）参与磋商的；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（六）单位负责人为同一人或者存在直接控股、管理关系的不同供应商，参加同一合同项下的政府采购活动；</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（八）响应文件未按照磋商文件第六篇磋商文件格式中所规定签字、盖章的；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（九）响应文件出现多个方案或报价的；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（十）响应文件含有采购人不能接受的附加条件的；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（十一）供应商组成联合体参与磋商的（拒绝联合体磋商时适用）；</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（十二）供应商串通投标的；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（十三）法律、法规和磋商文件规定的其他无效情形。</w:t>
      </w:r>
    </w:p>
    <w:p>
      <w:pPr>
        <w:rPr>
          <w:rFonts w:hint="eastAsia" w:ascii="宋体"/>
          <w:sz w:val="24"/>
          <w:szCs w:val="24"/>
        </w:rPr>
      </w:pPr>
      <w:bookmarkStart w:id="40" w:name="_Toc441065677"/>
      <w:r>
        <w:rPr>
          <w:rFonts w:hint="eastAsia" w:ascii="宋体"/>
          <w:b/>
          <w:sz w:val="24"/>
          <w:szCs w:val="24"/>
        </w:rPr>
        <w:t>四、</w:t>
      </w:r>
      <w:bookmarkEnd w:id="40"/>
      <w:r>
        <w:rPr>
          <w:rFonts w:hint="eastAsia" w:ascii="宋体"/>
          <w:sz w:val="24"/>
          <w:szCs w:val="24"/>
        </w:rPr>
        <w:t>磋商小组评审时出现以下情况之一的，应当终止竞争性磋商采购活动：</w:t>
      </w:r>
    </w:p>
    <w:p>
      <w:pPr>
        <w:numPr>
          <w:ilvl w:val="0"/>
          <w:numId w:val="18"/>
        </w:numPr>
        <w:snapToGrid w:val="0"/>
        <w:spacing w:line="276" w:lineRule="auto"/>
        <w:ind w:firstLine="480" w:firstLineChars="200"/>
        <w:rPr>
          <w:rFonts w:hint="eastAsia" w:ascii="宋体" w:hAnsi="宋体"/>
          <w:sz w:val="24"/>
          <w:szCs w:val="24"/>
        </w:rPr>
      </w:pPr>
      <w:r>
        <w:rPr>
          <w:rFonts w:hint="eastAsia" w:ascii="宋体" w:hAnsi="宋体"/>
          <w:sz w:val="24"/>
          <w:szCs w:val="24"/>
        </w:rPr>
        <w:t>符合专业条件的供应商或者对磋商文件作实质响应的供应商不足三家的；</w:t>
      </w:r>
    </w:p>
    <w:p>
      <w:pPr>
        <w:numPr>
          <w:ilvl w:val="0"/>
          <w:numId w:val="18"/>
        </w:numPr>
        <w:snapToGrid w:val="0"/>
        <w:spacing w:line="276" w:lineRule="auto"/>
        <w:ind w:firstLine="480" w:firstLineChars="200"/>
        <w:rPr>
          <w:rFonts w:hint="eastAsia" w:ascii="宋体" w:hAnsi="宋体"/>
          <w:sz w:val="24"/>
          <w:szCs w:val="24"/>
        </w:rPr>
      </w:pPr>
      <w:r>
        <w:rPr>
          <w:rFonts w:hint="eastAsia" w:ascii="宋体" w:hAnsi="宋体"/>
          <w:sz w:val="24"/>
          <w:szCs w:val="24"/>
        </w:rPr>
        <w:t>提交最后报价的供应商不足三家的（市场竞争不充分的科研项目，以及需要扶持的科技成果转化项目应为供应商不足二家的）；</w:t>
      </w:r>
    </w:p>
    <w:p>
      <w:pPr>
        <w:numPr>
          <w:ilvl w:val="0"/>
          <w:numId w:val="18"/>
        </w:numPr>
        <w:snapToGrid w:val="0"/>
        <w:spacing w:line="276" w:lineRule="auto"/>
        <w:ind w:firstLine="480" w:firstLineChars="200"/>
        <w:rPr>
          <w:rFonts w:hint="eastAsia" w:ascii="宋体" w:hAnsi="宋体"/>
          <w:sz w:val="24"/>
          <w:szCs w:val="24"/>
        </w:rPr>
      </w:pPr>
      <w:r>
        <w:rPr>
          <w:rFonts w:hint="eastAsia" w:ascii="宋体" w:hAnsi="宋体"/>
          <w:sz w:val="24"/>
          <w:szCs w:val="24"/>
        </w:rPr>
        <w:t>供应商的报价均超过了采购预算（设定最高限价的不得超过最高限价），采购人不能支付的；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（四）出现影响采购公正的违法、违规行为的；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（五）因重大变故，采购任务取消的。</w:t>
      </w:r>
    </w:p>
    <w:p>
      <w:pPr>
        <w:snapToGrid w:val="0"/>
        <w:spacing w:line="276" w:lineRule="auto"/>
        <w:ind w:firstLine="480" w:firstLineChars="200"/>
        <w:rPr>
          <w:rFonts w:hint="eastAsia" w:ascii="宋体" w:hAnsi="宋体"/>
          <w:sz w:val="24"/>
          <w:szCs w:val="24"/>
        </w:rPr>
      </w:pPr>
      <w:r>
        <w:rPr>
          <w:rFonts w:hint="eastAsia" w:ascii="宋体" w:hAnsi="宋体"/>
          <w:sz w:val="24"/>
          <w:szCs w:val="24"/>
        </w:rPr>
        <w:t>竞争性磋商活动终止后，除采购任务取消情形外，应当重新组织采购。</w:t>
      </w:r>
    </w:p>
    <w:p>
      <w:pPr>
        <w:pStyle w:val="3"/>
        <w:spacing w:before="0" w:beforeLines="0" w:after="0" w:afterLines="0" w:line="276" w:lineRule="auto"/>
        <w:rPr>
          <w:rFonts w:hint="eastAsia" w:ascii="宋体" w:hAnsi="宋体" w:eastAsia="宋体"/>
        </w:rPr>
      </w:pPr>
      <w:r>
        <w:rPr>
          <w:rFonts w:hint="eastAsia" w:ascii="宋体" w:hAnsi="宋体" w:eastAsia="宋体"/>
          <w:sz w:val="28"/>
        </w:rPr>
        <w:br w:type="page"/>
      </w:r>
      <w:bookmarkStart w:id="41" w:name="_Toc31812"/>
      <w:r>
        <w:rPr>
          <w:rFonts w:hint="eastAsia" w:ascii="宋体" w:hAnsi="宋体" w:eastAsia="宋体"/>
        </w:rPr>
        <w:t>第四篇  供应商须知</w:t>
      </w:r>
      <w:bookmarkEnd w:id="41"/>
    </w:p>
    <w:p>
      <w:pPr>
        <w:pStyle w:val="4"/>
        <w:spacing w:line="276" w:lineRule="auto"/>
        <w:ind w:firstLine="482" w:firstLineChars="200"/>
        <w:rPr>
          <w:rFonts w:hint="eastAsia"/>
          <w:b/>
          <w:sz w:val="24"/>
        </w:rPr>
      </w:pPr>
      <w:bookmarkStart w:id="42" w:name="_Toc441065679"/>
      <w:bookmarkStart w:id="43" w:name="_Toc25164"/>
      <w:r>
        <w:rPr>
          <w:rFonts w:hint="eastAsia"/>
          <w:b/>
          <w:sz w:val="24"/>
        </w:rPr>
        <w:t>一、</w:t>
      </w:r>
      <w:bookmarkEnd w:id="42"/>
      <w:r>
        <w:rPr>
          <w:rFonts w:hint="eastAsia"/>
          <w:b/>
          <w:sz w:val="24"/>
        </w:rPr>
        <w:t>供应商</w:t>
      </w:r>
      <w:bookmarkEnd w:id="43"/>
    </w:p>
    <w:p>
      <w:pPr>
        <w:snapToGrid w:val="0"/>
        <w:spacing w:line="276" w:lineRule="auto"/>
        <w:ind w:firstLine="480" w:firstLineChars="200"/>
        <w:rPr>
          <w:rFonts w:hint="eastAsia" w:ascii="宋体" w:hAnsi="宋体"/>
          <w:sz w:val="24"/>
        </w:rPr>
      </w:pPr>
      <w:r>
        <w:rPr>
          <w:rFonts w:hint="eastAsia" w:ascii="宋体" w:hAnsi="宋体"/>
          <w:sz w:val="24"/>
        </w:rPr>
        <w:t>1、合格供应商条件</w:t>
      </w:r>
    </w:p>
    <w:p>
      <w:pPr>
        <w:snapToGrid w:val="0"/>
        <w:spacing w:line="276" w:lineRule="auto"/>
        <w:ind w:firstLine="480" w:firstLineChars="200"/>
        <w:rPr>
          <w:rFonts w:hint="eastAsia" w:ascii="宋体" w:hAnsi="宋体"/>
          <w:sz w:val="24"/>
        </w:rPr>
      </w:pPr>
      <w:r>
        <w:rPr>
          <w:rFonts w:hint="eastAsia" w:ascii="宋体" w:hAnsi="宋体"/>
          <w:sz w:val="24"/>
        </w:rPr>
        <w:t>合格供应商应完全符合磋商文件第一篇中规定的供应商资格条件，并对磋商文件作出实质性响应。</w:t>
      </w:r>
    </w:p>
    <w:p>
      <w:pPr>
        <w:snapToGrid w:val="0"/>
        <w:spacing w:line="276" w:lineRule="auto"/>
        <w:ind w:firstLine="480" w:firstLineChars="200"/>
        <w:rPr>
          <w:rFonts w:hint="eastAsia" w:ascii="宋体" w:hAnsi="宋体"/>
          <w:sz w:val="24"/>
          <w:szCs w:val="28"/>
        </w:rPr>
      </w:pPr>
      <w:r>
        <w:rPr>
          <w:rFonts w:hint="eastAsia" w:ascii="宋体" w:hAnsi="宋体"/>
          <w:sz w:val="24"/>
          <w:szCs w:val="28"/>
        </w:rPr>
        <w:t>2、供应商的风险</w:t>
      </w:r>
    </w:p>
    <w:p>
      <w:pPr>
        <w:snapToGrid w:val="0"/>
        <w:spacing w:line="276" w:lineRule="auto"/>
        <w:ind w:firstLine="480" w:firstLineChars="200"/>
        <w:rPr>
          <w:rFonts w:hint="eastAsia" w:ascii="宋体" w:hAnsi="宋体"/>
          <w:sz w:val="24"/>
        </w:rPr>
      </w:pPr>
      <w:r>
        <w:rPr>
          <w:rFonts w:hint="eastAsia" w:ascii="宋体" w:hAnsi="宋体"/>
          <w:sz w:val="24"/>
        </w:rPr>
        <w:t>供应商没有按照磋商文件要求提供全部资料，或者供应商没有对磋商文件在各方面作出实质性响应，可能导致拒绝参与磋商或评定为无效。</w:t>
      </w:r>
    </w:p>
    <w:p>
      <w:pPr>
        <w:pStyle w:val="4"/>
        <w:spacing w:line="276" w:lineRule="auto"/>
        <w:ind w:firstLine="482" w:firstLineChars="200"/>
        <w:rPr>
          <w:rFonts w:hint="eastAsia"/>
          <w:b/>
          <w:sz w:val="24"/>
        </w:rPr>
      </w:pPr>
      <w:bookmarkStart w:id="44" w:name="_Toc441065680"/>
      <w:bookmarkStart w:id="45" w:name="_Toc31133"/>
      <w:r>
        <w:rPr>
          <w:rFonts w:hint="eastAsia"/>
          <w:b/>
          <w:sz w:val="24"/>
        </w:rPr>
        <w:t>二、磋商文件</w:t>
      </w:r>
      <w:bookmarkEnd w:id="44"/>
      <w:bookmarkEnd w:id="45"/>
    </w:p>
    <w:p>
      <w:pPr>
        <w:snapToGrid w:val="0"/>
        <w:spacing w:line="276" w:lineRule="auto"/>
        <w:ind w:firstLine="480" w:firstLineChars="200"/>
        <w:rPr>
          <w:rFonts w:hint="eastAsia" w:ascii="宋体" w:hAnsi="宋体"/>
          <w:sz w:val="24"/>
        </w:rPr>
      </w:pPr>
      <w:r>
        <w:rPr>
          <w:rFonts w:hint="eastAsia" w:ascii="宋体" w:hAnsi="宋体"/>
          <w:sz w:val="24"/>
        </w:rPr>
        <w:t>磋商文件是供应商编制响应文件的依据，是磋商小组评判依据和标准。磋商文件也是采购人与成交供应商签订合同的基础。</w:t>
      </w:r>
    </w:p>
    <w:p>
      <w:pPr>
        <w:snapToGrid w:val="0"/>
        <w:spacing w:line="276" w:lineRule="auto"/>
        <w:ind w:firstLine="480" w:firstLineChars="200"/>
        <w:rPr>
          <w:rFonts w:hint="eastAsia" w:ascii="宋体" w:hAnsi="宋体"/>
          <w:sz w:val="24"/>
        </w:rPr>
      </w:pPr>
      <w:r>
        <w:rPr>
          <w:rFonts w:hint="eastAsia" w:ascii="宋体" w:hAnsi="宋体"/>
          <w:sz w:val="24"/>
        </w:rPr>
        <w:t>（一）磋商文件由竞争性磋商邀请书；项目具体要求；评审程序、评审方法和评审标准；供应商须知；合同主要条款和格式合同样本；响应文件格式等六部分组成。</w:t>
      </w:r>
    </w:p>
    <w:p>
      <w:pPr>
        <w:snapToGrid w:val="0"/>
        <w:spacing w:line="276" w:lineRule="auto"/>
        <w:ind w:firstLine="480"/>
        <w:rPr>
          <w:rFonts w:hint="eastAsia" w:ascii="宋体" w:hAnsi="宋体"/>
          <w:sz w:val="24"/>
        </w:rPr>
      </w:pPr>
      <w:r>
        <w:rPr>
          <w:rFonts w:hint="eastAsia" w:ascii="宋体" w:hAnsi="宋体"/>
          <w:sz w:val="24"/>
          <w:szCs w:val="28"/>
        </w:rPr>
        <w:t>（二）</w:t>
      </w:r>
      <w:r>
        <w:rPr>
          <w:rFonts w:hint="eastAsia" w:ascii="宋体" w:hAnsi="宋体"/>
          <w:sz w:val="24"/>
        </w:rPr>
        <w:t>采购人对磋商文件所作的一切有效的书面通知、修改及补充，都是磋商文件不可分割的部分。</w:t>
      </w:r>
    </w:p>
    <w:p>
      <w:pPr>
        <w:snapToGrid w:val="0"/>
        <w:spacing w:line="276" w:lineRule="auto"/>
        <w:ind w:firstLine="480"/>
        <w:rPr>
          <w:rFonts w:hint="eastAsia" w:ascii="宋体" w:hAnsi="宋体"/>
          <w:sz w:val="24"/>
        </w:rPr>
      </w:pPr>
      <w:r>
        <w:rPr>
          <w:rFonts w:hint="eastAsia" w:ascii="宋体" w:hAnsi="宋体"/>
          <w:sz w:val="24"/>
        </w:rPr>
        <w:t>（三）采购人对磋商文件所作的一切有效的通知、补遗、澄清或修改（以网上公示内容为准），都是磋商文件不可分割的部分。</w:t>
      </w:r>
    </w:p>
    <w:p>
      <w:pPr>
        <w:snapToGrid w:val="0"/>
        <w:spacing w:line="276" w:lineRule="auto"/>
        <w:ind w:firstLine="480"/>
        <w:rPr>
          <w:rFonts w:hint="eastAsia" w:ascii="宋体" w:hAnsi="宋体"/>
          <w:sz w:val="24"/>
        </w:rPr>
      </w:pPr>
      <w:r>
        <w:rPr>
          <w:rFonts w:hint="eastAsia" w:ascii="宋体" w:hAnsi="宋体"/>
          <w:sz w:val="24"/>
        </w:rPr>
        <w:t>（四）本项目所有补遗文件（包含澄清或者修改文件）一律在重庆市第九人民医院官网上发布，请各供应商注意下载，</w:t>
      </w:r>
      <w:r>
        <w:rPr>
          <w:rFonts w:hint="eastAsia" w:ascii="宋体" w:hAnsi="宋体"/>
          <w:sz w:val="24"/>
          <w:szCs w:val="24"/>
        </w:rPr>
        <w:t>无论供应商下载与否，均视同供应商已知晓本项目磋商文件、补遗文件的内容</w:t>
      </w:r>
      <w:r>
        <w:rPr>
          <w:rFonts w:hint="eastAsia" w:ascii="宋体" w:hAnsi="宋体"/>
          <w:sz w:val="24"/>
        </w:rPr>
        <w:t>。</w:t>
      </w:r>
    </w:p>
    <w:p>
      <w:pPr>
        <w:pStyle w:val="4"/>
        <w:spacing w:line="276" w:lineRule="auto"/>
        <w:ind w:firstLine="482" w:firstLineChars="200"/>
        <w:rPr>
          <w:rFonts w:hint="eastAsia"/>
          <w:b/>
          <w:sz w:val="24"/>
        </w:rPr>
      </w:pPr>
      <w:bookmarkStart w:id="46" w:name="_Toc441065681"/>
      <w:bookmarkStart w:id="47" w:name="_Toc9884"/>
      <w:r>
        <w:rPr>
          <w:rFonts w:hint="eastAsia"/>
          <w:b/>
          <w:sz w:val="24"/>
        </w:rPr>
        <w:t>三、响应文件</w:t>
      </w:r>
      <w:bookmarkEnd w:id="46"/>
      <w:bookmarkEnd w:id="47"/>
    </w:p>
    <w:p>
      <w:pPr>
        <w:spacing w:line="276" w:lineRule="auto"/>
        <w:ind w:firstLine="480" w:firstLineChars="200"/>
        <w:rPr>
          <w:rFonts w:hint="eastAsia" w:ascii="宋体" w:hAnsi="宋体"/>
          <w:sz w:val="24"/>
        </w:rPr>
      </w:pPr>
      <w:r>
        <w:rPr>
          <w:rFonts w:hint="eastAsia" w:ascii="宋体" w:hAnsi="宋体"/>
          <w:sz w:val="24"/>
        </w:rPr>
        <w:t>供应商应当按照磋商文件的要求编制响应文件，并对磋商文件提出的要求和条件作出实质性响应，响应文件原则上采用软面订本，同时应编制完整的页码、目录。</w:t>
      </w:r>
    </w:p>
    <w:p>
      <w:pPr>
        <w:spacing w:line="276" w:lineRule="auto"/>
        <w:ind w:firstLine="480" w:firstLineChars="200"/>
        <w:rPr>
          <w:rFonts w:hint="eastAsia" w:ascii="宋体" w:hAnsi="宋体"/>
          <w:sz w:val="24"/>
        </w:rPr>
      </w:pPr>
      <w:r>
        <w:rPr>
          <w:rFonts w:hint="eastAsia" w:ascii="宋体" w:hAnsi="宋体"/>
          <w:sz w:val="24"/>
        </w:rPr>
        <w:t>（一）响应文件组成</w:t>
      </w:r>
    </w:p>
    <w:p>
      <w:pPr>
        <w:spacing w:line="276" w:lineRule="auto"/>
        <w:ind w:firstLine="480" w:firstLineChars="200"/>
        <w:rPr>
          <w:rFonts w:hint="eastAsia" w:ascii="宋体" w:hAnsi="宋体"/>
          <w:sz w:val="24"/>
        </w:rPr>
      </w:pPr>
      <w:r>
        <w:rPr>
          <w:rFonts w:hint="eastAsia" w:ascii="宋体" w:hAnsi="宋体"/>
          <w:sz w:val="24"/>
        </w:rPr>
        <w:t>响应文件由第六篇“响应文件格式”规定的部分和供应商所作的一切有效补充、修改和承诺等文件组成，供应商应按照第六篇“响应文件格式”规定的目录顺序组织编写和装订，否则有可能影响磋商小组对响应文件的评审。</w:t>
      </w:r>
    </w:p>
    <w:p>
      <w:pPr>
        <w:spacing w:line="276" w:lineRule="auto"/>
        <w:ind w:firstLine="480" w:firstLineChars="200"/>
        <w:rPr>
          <w:rFonts w:hint="eastAsia" w:ascii="宋体" w:hAnsi="宋体"/>
          <w:sz w:val="24"/>
        </w:rPr>
      </w:pPr>
      <w:r>
        <w:rPr>
          <w:rFonts w:hint="eastAsia" w:ascii="宋体" w:hAnsi="宋体"/>
          <w:sz w:val="24"/>
        </w:rPr>
        <w:t>（二）联合参与磋商</w:t>
      </w:r>
    </w:p>
    <w:p>
      <w:pPr>
        <w:spacing w:line="276" w:lineRule="auto"/>
        <w:ind w:firstLine="482" w:firstLineChars="200"/>
        <w:rPr>
          <w:rFonts w:hint="eastAsia" w:ascii="宋体" w:hAnsi="宋体" w:cs="方正仿宋_GBK"/>
          <w:b/>
          <w:bCs/>
          <w:sz w:val="24"/>
          <w:szCs w:val="24"/>
          <w:u w:val="single"/>
        </w:rPr>
      </w:pPr>
      <w:r>
        <w:rPr>
          <w:rFonts w:hint="eastAsia" w:ascii="宋体" w:hAnsi="宋体" w:cs="方正仿宋_GBK"/>
          <w:b/>
          <w:bCs/>
          <w:sz w:val="24"/>
          <w:szCs w:val="24"/>
          <w:u w:val="single"/>
        </w:rPr>
        <w:t>本项目不支持联合体投标</w:t>
      </w:r>
    </w:p>
    <w:p>
      <w:pPr>
        <w:spacing w:line="276" w:lineRule="auto"/>
        <w:ind w:firstLine="480" w:firstLineChars="200"/>
        <w:rPr>
          <w:rFonts w:hint="eastAsia" w:ascii="宋体" w:hAnsi="宋体"/>
          <w:sz w:val="24"/>
        </w:rPr>
      </w:pPr>
      <w:r>
        <w:rPr>
          <w:rFonts w:hint="eastAsia" w:ascii="宋体" w:hAnsi="宋体"/>
          <w:sz w:val="24"/>
        </w:rPr>
        <w:t>（三）响应文件有效期</w:t>
      </w:r>
    </w:p>
    <w:p>
      <w:pPr>
        <w:spacing w:line="276" w:lineRule="auto"/>
        <w:ind w:firstLine="480" w:firstLineChars="200"/>
        <w:rPr>
          <w:rFonts w:hint="eastAsia" w:ascii="宋体" w:hAnsi="宋体"/>
          <w:sz w:val="24"/>
        </w:rPr>
      </w:pPr>
      <w:r>
        <w:rPr>
          <w:rFonts w:hint="eastAsia" w:ascii="宋体" w:hAnsi="宋体"/>
          <w:sz w:val="24"/>
        </w:rPr>
        <w:t>响应文件有效期为响应文件提交截止日期后九十天内。</w:t>
      </w:r>
    </w:p>
    <w:p>
      <w:pPr>
        <w:spacing w:line="276" w:lineRule="auto"/>
        <w:ind w:firstLine="480" w:firstLineChars="200"/>
        <w:rPr>
          <w:rFonts w:hint="eastAsia" w:ascii="宋体" w:hAnsi="宋体"/>
          <w:sz w:val="24"/>
        </w:rPr>
      </w:pPr>
      <w:r>
        <w:rPr>
          <w:rFonts w:hint="eastAsia" w:ascii="宋体" w:hAnsi="宋体"/>
          <w:sz w:val="24"/>
        </w:rPr>
        <w:t>（四）磋商保证金</w:t>
      </w:r>
    </w:p>
    <w:p>
      <w:pPr>
        <w:tabs>
          <w:tab w:val="left" w:pos="0"/>
        </w:tabs>
        <w:snapToGrid w:val="0"/>
        <w:spacing w:line="276" w:lineRule="auto"/>
        <w:ind w:firstLine="480" w:firstLineChars="200"/>
        <w:rPr>
          <w:rFonts w:hint="eastAsia" w:ascii="宋体" w:hAnsi="宋体"/>
          <w:sz w:val="24"/>
        </w:rPr>
      </w:pPr>
      <w:r>
        <w:rPr>
          <w:rFonts w:hint="eastAsia" w:ascii="宋体" w:hAnsi="宋体"/>
          <w:sz w:val="24"/>
        </w:rPr>
        <w:t>1、供应商应在响应文件提交截止时间前，按磋商文件第一篇规定缴纳磋商保证金。</w:t>
      </w:r>
    </w:p>
    <w:p>
      <w:pPr>
        <w:tabs>
          <w:tab w:val="left" w:pos="0"/>
        </w:tabs>
        <w:spacing w:line="276" w:lineRule="auto"/>
        <w:ind w:firstLine="480" w:firstLineChars="200"/>
        <w:rPr>
          <w:rFonts w:hint="eastAsia" w:ascii="宋体" w:hAnsi="宋体"/>
          <w:sz w:val="24"/>
        </w:rPr>
      </w:pPr>
      <w:r>
        <w:rPr>
          <w:rFonts w:hint="eastAsia" w:ascii="宋体" w:hAnsi="宋体"/>
          <w:sz w:val="24"/>
        </w:rPr>
        <w:t>2、磋商保证金为磋商的有效约束条件。</w:t>
      </w:r>
    </w:p>
    <w:p>
      <w:pPr>
        <w:tabs>
          <w:tab w:val="left" w:pos="0"/>
        </w:tabs>
        <w:spacing w:line="276" w:lineRule="auto"/>
        <w:ind w:firstLine="480" w:firstLineChars="200"/>
        <w:rPr>
          <w:rFonts w:hint="eastAsia" w:ascii="宋体" w:hAnsi="宋体"/>
          <w:sz w:val="24"/>
        </w:rPr>
      </w:pPr>
      <w:r>
        <w:rPr>
          <w:rFonts w:hint="eastAsia" w:ascii="宋体" w:hAnsi="宋体"/>
          <w:sz w:val="24"/>
        </w:rPr>
        <w:t>3、磋商保证金的有效期限在响应文件有效期过后三十天内继续有效。</w:t>
      </w:r>
    </w:p>
    <w:p>
      <w:pPr>
        <w:tabs>
          <w:tab w:val="left" w:pos="0"/>
        </w:tabs>
        <w:spacing w:line="276" w:lineRule="auto"/>
        <w:ind w:firstLine="480" w:firstLineChars="200"/>
        <w:rPr>
          <w:rFonts w:hint="eastAsia" w:ascii="宋体" w:hAnsi="宋体"/>
          <w:sz w:val="24"/>
        </w:rPr>
      </w:pPr>
      <w:r>
        <w:rPr>
          <w:rFonts w:hint="eastAsia" w:ascii="宋体" w:hAnsi="宋体"/>
          <w:sz w:val="24"/>
        </w:rPr>
        <w:t>4、磋商保证金币种应与响应文件中报价币种相同。</w:t>
      </w:r>
    </w:p>
    <w:p>
      <w:pPr>
        <w:tabs>
          <w:tab w:val="left" w:pos="0"/>
        </w:tabs>
        <w:spacing w:line="276" w:lineRule="auto"/>
        <w:ind w:firstLine="480" w:firstLineChars="200"/>
        <w:rPr>
          <w:rFonts w:hint="eastAsia" w:ascii="宋体" w:hAnsi="宋体"/>
          <w:sz w:val="24"/>
        </w:rPr>
      </w:pPr>
      <w:r>
        <w:rPr>
          <w:rFonts w:hint="eastAsia" w:ascii="宋体" w:hAnsi="宋体"/>
          <w:sz w:val="24"/>
        </w:rPr>
        <w:t>5、采购人在《成交通知书》发出后五个工作日内无息退还未成交供应商的磋商保证金；在采购合同签订后五个工作日无息退还成交供应商的磋商保证金。</w:t>
      </w:r>
    </w:p>
    <w:p>
      <w:pPr>
        <w:tabs>
          <w:tab w:val="left" w:pos="0"/>
        </w:tabs>
        <w:spacing w:line="276" w:lineRule="auto"/>
        <w:ind w:firstLine="480" w:firstLineChars="200"/>
        <w:rPr>
          <w:rFonts w:hint="eastAsia" w:ascii="宋体" w:hAnsi="宋体"/>
          <w:sz w:val="24"/>
        </w:rPr>
      </w:pPr>
      <w:r>
        <w:rPr>
          <w:rFonts w:hint="eastAsia" w:ascii="宋体" w:hAnsi="宋体"/>
          <w:sz w:val="24"/>
        </w:rPr>
        <w:t>6、供应商有下列情形之一的，经监督部门和采购人确认属实，磋商保证金将不予退还，由采购代理机构上缴国库：</w:t>
      </w:r>
    </w:p>
    <w:p>
      <w:pPr>
        <w:spacing w:line="276" w:lineRule="auto"/>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pPr>
        <w:spacing w:line="276" w:lineRule="auto"/>
        <w:ind w:firstLine="480" w:firstLineChars="200"/>
        <w:rPr>
          <w:rFonts w:hint="eastAsia" w:ascii="宋体" w:hAnsi="宋体"/>
          <w:sz w:val="24"/>
          <w:szCs w:val="24"/>
        </w:rPr>
      </w:pPr>
      <w:r>
        <w:rPr>
          <w:rFonts w:hint="eastAsia" w:ascii="宋体" w:hAnsi="宋体"/>
          <w:sz w:val="24"/>
          <w:szCs w:val="24"/>
        </w:rPr>
        <w:t>（2）供应商在响应文件中提供虚假材料的；</w:t>
      </w:r>
    </w:p>
    <w:p>
      <w:pPr>
        <w:spacing w:line="276" w:lineRule="auto"/>
        <w:ind w:firstLine="480" w:firstLineChars="200"/>
        <w:rPr>
          <w:rFonts w:hint="eastAsia" w:ascii="宋体" w:hAnsi="宋体"/>
          <w:sz w:val="24"/>
          <w:szCs w:val="24"/>
        </w:rPr>
      </w:pPr>
      <w:r>
        <w:rPr>
          <w:rFonts w:hint="eastAsia" w:ascii="宋体" w:hAnsi="宋体"/>
          <w:sz w:val="24"/>
          <w:szCs w:val="24"/>
        </w:rPr>
        <w:t>（3）除因不可抗力或竞争性磋商文件认可的情形以外，成交供应商不与采购人签订合同的；</w:t>
      </w:r>
    </w:p>
    <w:p>
      <w:pPr>
        <w:spacing w:line="276" w:lineRule="auto"/>
        <w:ind w:firstLine="480" w:firstLineChars="200"/>
        <w:rPr>
          <w:rFonts w:hint="eastAsia" w:ascii="宋体" w:hAnsi="宋体"/>
          <w:sz w:val="24"/>
          <w:szCs w:val="24"/>
        </w:rPr>
      </w:pPr>
      <w:r>
        <w:rPr>
          <w:rFonts w:hint="eastAsia" w:ascii="宋体" w:hAnsi="宋体"/>
          <w:sz w:val="24"/>
          <w:szCs w:val="24"/>
        </w:rPr>
        <w:t>（4）供应商与采购人、其他供应商或者采购代理机构恶意串通的；</w:t>
      </w:r>
    </w:p>
    <w:p>
      <w:pPr>
        <w:spacing w:line="276" w:lineRule="auto"/>
        <w:ind w:firstLine="480" w:firstLineChars="200"/>
        <w:rPr>
          <w:rFonts w:hint="eastAsia" w:ascii="宋体" w:hAnsi="宋体"/>
          <w:sz w:val="24"/>
          <w:szCs w:val="24"/>
        </w:rPr>
      </w:pPr>
      <w:r>
        <w:rPr>
          <w:rFonts w:hint="eastAsia" w:ascii="宋体" w:hAnsi="宋体"/>
          <w:sz w:val="24"/>
          <w:szCs w:val="24"/>
        </w:rPr>
        <w:t>（5）成交供应商不按规定的时间或拒绝按成交状态签订合同（即不按照采购文件确定的合同文本以及采购标的、规格型号、采购金额、采购数量、技术和服务要求等事项签订政府采购合同的。）。</w:t>
      </w:r>
    </w:p>
    <w:p>
      <w:pPr>
        <w:snapToGrid w:val="0"/>
        <w:spacing w:line="276" w:lineRule="auto"/>
        <w:ind w:firstLine="470" w:firstLineChars="196"/>
        <w:jc w:val="left"/>
        <w:rPr>
          <w:rFonts w:hint="eastAsia" w:ascii="宋体" w:hAnsi="宋体"/>
          <w:bCs/>
          <w:sz w:val="24"/>
        </w:rPr>
      </w:pPr>
      <w:r>
        <w:rPr>
          <w:rFonts w:hint="eastAsia" w:ascii="宋体" w:hAnsi="宋体"/>
          <w:bCs/>
          <w:sz w:val="24"/>
        </w:rPr>
        <w:t>（五）响应文件的份数和签署</w:t>
      </w:r>
    </w:p>
    <w:p>
      <w:pPr>
        <w:tabs>
          <w:tab w:val="left" w:pos="0"/>
        </w:tabs>
        <w:spacing w:line="276" w:lineRule="auto"/>
        <w:ind w:firstLine="480" w:firstLineChars="200"/>
        <w:rPr>
          <w:rFonts w:hint="eastAsia" w:ascii="宋体" w:hAnsi="宋体"/>
          <w:sz w:val="24"/>
        </w:rPr>
      </w:pPr>
      <w:r>
        <w:rPr>
          <w:rFonts w:hint="eastAsia" w:ascii="宋体" w:hAnsi="宋体"/>
          <w:sz w:val="24"/>
        </w:rPr>
        <w:t>1、响应文件一式二份，其中正本一份，副本一份。每套纸质响应文件须在封面清楚地标明“正本”或“副本”，副本应为正本的完整复印件，副本与正本不一致时以正本为准。</w:t>
      </w:r>
    </w:p>
    <w:p>
      <w:pPr>
        <w:tabs>
          <w:tab w:val="left" w:pos="0"/>
        </w:tabs>
        <w:spacing w:line="276" w:lineRule="auto"/>
        <w:ind w:firstLine="480" w:firstLineChars="200"/>
        <w:rPr>
          <w:rFonts w:hint="eastAsia" w:ascii="宋体" w:hAnsi="宋体"/>
          <w:sz w:val="24"/>
        </w:rPr>
      </w:pPr>
      <w:r>
        <w:rPr>
          <w:rFonts w:hint="eastAsia" w:ascii="宋体" w:hAnsi="宋体"/>
          <w:sz w:val="24"/>
        </w:rPr>
        <w:t>2、在磋商文件第六篇响应文件格式中规定签字、盖章的地方必须按其规定签字、盖章。</w:t>
      </w:r>
    </w:p>
    <w:p>
      <w:pPr>
        <w:tabs>
          <w:tab w:val="left" w:pos="0"/>
        </w:tabs>
        <w:spacing w:line="276" w:lineRule="auto"/>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w:t>
      </w:r>
      <w:r>
        <w:rPr>
          <w:rFonts w:hint="eastAsia" w:ascii="宋体" w:hAnsi="宋体"/>
          <w:sz w:val="24"/>
          <w:szCs w:val="28"/>
        </w:rPr>
        <w:t>法定代表人</w:t>
      </w:r>
      <w:r>
        <w:rPr>
          <w:rFonts w:hint="eastAsia" w:ascii="宋体" w:hAnsi="宋体"/>
          <w:sz w:val="24"/>
        </w:rPr>
        <w:t>或</w:t>
      </w:r>
      <w:r>
        <w:rPr>
          <w:rFonts w:hint="eastAsia" w:ascii="宋体" w:hAnsi="宋体"/>
          <w:sz w:val="24"/>
          <w:szCs w:val="28"/>
        </w:rPr>
        <w:t>法定代表人</w:t>
      </w:r>
      <w:r>
        <w:rPr>
          <w:rFonts w:hint="eastAsia" w:ascii="宋体" w:hAnsi="宋体"/>
          <w:sz w:val="24"/>
        </w:rPr>
        <w:t>授权代表签字确认。</w:t>
      </w:r>
    </w:p>
    <w:p>
      <w:pPr>
        <w:snapToGrid w:val="0"/>
        <w:spacing w:line="276" w:lineRule="auto"/>
        <w:ind w:firstLine="470" w:firstLineChars="196"/>
        <w:jc w:val="left"/>
        <w:rPr>
          <w:rFonts w:hint="eastAsia" w:ascii="宋体" w:hAnsi="宋体"/>
          <w:sz w:val="24"/>
        </w:rPr>
      </w:pPr>
      <w:r>
        <w:rPr>
          <w:rFonts w:hint="eastAsia" w:ascii="宋体" w:hAnsi="宋体"/>
          <w:sz w:val="24"/>
        </w:rPr>
        <w:t>4、电报、电话、传真形式的响应文件概不接受。</w:t>
      </w:r>
    </w:p>
    <w:p>
      <w:pPr>
        <w:snapToGrid w:val="0"/>
        <w:spacing w:line="276" w:lineRule="auto"/>
        <w:ind w:firstLine="470" w:firstLineChars="196"/>
        <w:jc w:val="left"/>
        <w:rPr>
          <w:rFonts w:hint="eastAsia" w:ascii="宋体" w:hAnsi="宋体"/>
          <w:bCs/>
          <w:sz w:val="24"/>
        </w:rPr>
      </w:pPr>
      <w:r>
        <w:rPr>
          <w:rFonts w:hint="eastAsia" w:ascii="宋体" w:hAnsi="宋体"/>
          <w:bCs/>
          <w:sz w:val="24"/>
        </w:rPr>
        <w:t>（六）报价</w:t>
      </w:r>
    </w:p>
    <w:p>
      <w:pPr>
        <w:snapToGrid w:val="0"/>
        <w:spacing w:line="276" w:lineRule="auto"/>
        <w:ind w:firstLine="470" w:firstLineChars="196"/>
        <w:jc w:val="left"/>
        <w:rPr>
          <w:rFonts w:hint="eastAsia" w:ascii="宋体" w:hAnsi="宋体"/>
          <w:sz w:val="24"/>
        </w:rPr>
      </w:pPr>
      <w:r>
        <w:rPr>
          <w:rFonts w:hint="eastAsia" w:ascii="宋体" w:hAnsi="宋体"/>
          <w:bCs/>
          <w:sz w:val="24"/>
        </w:rPr>
        <w:t>1、供应商应严格按照“响应文件格式”中“报价一览表”和“分项报价明细表”</w:t>
      </w:r>
      <w:r>
        <w:rPr>
          <w:rFonts w:hint="eastAsia" w:ascii="宋体" w:hAnsi="宋体"/>
          <w:sz w:val="24"/>
        </w:rPr>
        <w:t>的格式填写报价。</w:t>
      </w:r>
    </w:p>
    <w:p>
      <w:pPr>
        <w:snapToGrid w:val="0"/>
        <w:spacing w:line="276" w:lineRule="auto"/>
        <w:ind w:left="3" w:leftChars="1" w:firstLine="480" w:firstLineChars="200"/>
        <w:rPr>
          <w:rFonts w:hint="eastAsia" w:ascii="宋体" w:hAnsi="宋体"/>
          <w:sz w:val="24"/>
        </w:rPr>
      </w:pPr>
      <w:r>
        <w:rPr>
          <w:rFonts w:hint="eastAsia" w:ascii="宋体" w:hAnsi="宋体"/>
          <w:sz w:val="24"/>
        </w:rPr>
        <w:t>2、供应商的报价为一次性报价，即在响应文件有效期内报价固定不变。</w:t>
      </w:r>
    </w:p>
    <w:p>
      <w:pPr>
        <w:snapToGrid w:val="0"/>
        <w:spacing w:line="276" w:lineRule="auto"/>
        <w:ind w:left="3" w:leftChars="1" w:firstLine="480" w:firstLineChars="200"/>
        <w:rPr>
          <w:rFonts w:hint="eastAsia" w:ascii="宋体" w:hAnsi="宋体"/>
          <w:sz w:val="24"/>
        </w:rPr>
      </w:pPr>
      <w:r>
        <w:rPr>
          <w:rFonts w:hint="eastAsia" w:ascii="宋体" w:hAnsi="宋体"/>
          <w:sz w:val="24"/>
        </w:rPr>
        <w:t>3、本项目只接受一个报价，有选择的或有条件的报价将不予接受。</w:t>
      </w:r>
    </w:p>
    <w:p>
      <w:pPr>
        <w:pStyle w:val="31"/>
        <w:spacing w:line="276" w:lineRule="auto"/>
        <w:ind w:firstLine="480" w:firstLineChars="200"/>
        <w:rPr>
          <w:rFonts w:hint="eastAsia" w:hAnsi="宋体"/>
          <w:sz w:val="24"/>
        </w:rPr>
      </w:pPr>
      <w:r>
        <w:rPr>
          <w:rFonts w:hint="eastAsia" w:hAnsi="宋体"/>
          <w:sz w:val="24"/>
        </w:rPr>
        <w:t>（七）修正错误</w:t>
      </w:r>
    </w:p>
    <w:p>
      <w:pPr>
        <w:pStyle w:val="31"/>
        <w:spacing w:line="276" w:lineRule="auto"/>
        <w:ind w:firstLine="480" w:firstLineChars="200"/>
        <w:rPr>
          <w:rFonts w:hint="eastAsia" w:hAnsi="宋体"/>
          <w:sz w:val="24"/>
        </w:rPr>
      </w:pPr>
      <w:r>
        <w:rPr>
          <w:rFonts w:hint="eastAsia" w:hAnsi="宋体"/>
          <w:sz w:val="24"/>
        </w:rPr>
        <w:t>若响应文件出现计算或表达上的错误，修正错误的原则如下：</w:t>
      </w:r>
    </w:p>
    <w:p>
      <w:pPr>
        <w:snapToGrid w:val="0"/>
        <w:spacing w:line="276" w:lineRule="auto"/>
        <w:ind w:firstLine="480" w:firstLineChars="200"/>
        <w:rPr>
          <w:rFonts w:hint="eastAsia" w:ascii="宋体" w:hAnsi="宋体"/>
          <w:sz w:val="24"/>
        </w:rPr>
      </w:pPr>
      <w:r>
        <w:rPr>
          <w:rFonts w:hint="eastAsia" w:ascii="宋体" w:hAnsi="宋体"/>
          <w:sz w:val="24"/>
        </w:rPr>
        <w:t>1、开标一览表总价与分项报价明细表汇总数不一致的，</w:t>
      </w:r>
      <w:r>
        <w:rPr>
          <w:rFonts w:hint="eastAsia" w:ascii="宋体" w:hAnsi="宋体" w:cs="Arial"/>
          <w:kern w:val="0"/>
          <w:sz w:val="24"/>
        </w:rPr>
        <w:t>以报价一览表为准；</w:t>
      </w:r>
    </w:p>
    <w:p>
      <w:pPr>
        <w:pStyle w:val="31"/>
        <w:spacing w:line="276" w:lineRule="auto"/>
        <w:ind w:firstLine="480" w:firstLineChars="200"/>
        <w:rPr>
          <w:rFonts w:hint="eastAsia" w:hAnsi="宋体"/>
          <w:sz w:val="24"/>
        </w:rPr>
      </w:pPr>
      <w:r>
        <w:rPr>
          <w:rFonts w:hint="eastAsia" w:hAnsi="宋体"/>
          <w:sz w:val="24"/>
        </w:rPr>
        <w:t>2、大写金额和小写金额不一致的，以大写金额为准；</w:t>
      </w:r>
    </w:p>
    <w:p>
      <w:pPr>
        <w:pStyle w:val="31"/>
        <w:spacing w:line="276" w:lineRule="auto"/>
        <w:ind w:firstLine="480" w:firstLineChars="200"/>
        <w:rPr>
          <w:rFonts w:hint="eastAsia" w:hAnsi="宋体"/>
          <w:sz w:val="24"/>
        </w:rPr>
      </w:pPr>
      <w:r>
        <w:rPr>
          <w:rFonts w:hint="eastAsia" w:hAnsi="宋体"/>
          <w:sz w:val="24"/>
        </w:rPr>
        <w:t>3、总价金额与按单价汇总金额不一致的，以单价金额计算结果为准；</w:t>
      </w:r>
    </w:p>
    <w:p>
      <w:pPr>
        <w:pStyle w:val="31"/>
        <w:spacing w:line="276" w:lineRule="auto"/>
        <w:ind w:firstLine="480" w:firstLineChars="200"/>
        <w:rPr>
          <w:rFonts w:hint="eastAsia" w:hAnsi="宋体"/>
          <w:sz w:val="24"/>
        </w:rPr>
      </w:pPr>
      <w:r>
        <w:rPr>
          <w:rFonts w:hint="eastAsia" w:hAnsi="宋体"/>
          <w:sz w:val="24"/>
        </w:rPr>
        <w:t>4、单价金额小数点有明显错位的，应以总价为准，并修正单价；</w:t>
      </w:r>
    </w:p>
    <w:p>
      <w:pPr>
        <w:pStyle w:val="31"/>
        <w:spacing w:line="276" w:lineRule="auto"/>
        <w:ind w:firstLine="480" w:firstLineChars="200"/>
        <w:rPr>
          <w:rFonts w:hint="eastAsia" w:hAnsi="宋体"/>
          <w:sz w:val="24"/>
        </w:rPr>
      </w:pPr>
      <w:r>
        <w:rPr>
          <w:rFonts w:hint="eastAsia" w:hAnsi="宋体"/>
          <w:sz w:val="24"/>
        </w:rPr>
        <w:t>5、对不同文字文本响应文件的解释发生异议的，以中文文本为准。</w:t>
      </w:r>
    </w:p>
    <w:p>
      <w:pPr>
        <w:pStyle w:val="31"/>
        <w:spacing w:line="276" w:lineRule="auto"/>
        <w:ind w:firstLine="480" w:firstLineChars="200"/>
        <w:rPr>
          <w:rFonts w:hint="eastAsia" w:hAnsi="宋体"/>
          <w:sz w:val="24"/>
        </w:rPr>
      </w:pPr>
      <w:r>
        <w:rPr>
          <w:rFonts w:hint="eastAsia" w:hAnsi="宋体"/>
          <w:sz w:val="24"/>
        </w:rPr>
        <w:t>磋商小组按上述修正错误的原则及方法调整或修正供应商报价，供应商同意并签字确认后，调整后的报价对供应商具有约束作用。如果供应商不接受修正后的报价，则将其作为响应文件无效处理。</w:t>
      </w:r>
    </w:p>
    <w:p>
      <w:pPr>
        <w:pStyle w:val="31"/>
        <w:spacing w:line="276" w:lineRule="auto"/>
        <w:ind w:firstLine="480" w:firstLineChars="200"/>
        <w:rPr>
          <w:rFonts w:hint="eastAsia" w:hAnsi="宋体"/>
          <w:sz w:val="24"/>
        </w:rPr>
      </w:pPr>
      <w:r>
        <w:rPr>
          <w:rFonts w:hint="eastAsia" w:hAnsi="宋体"/>
          <w:sz w:val="24"/>
        </w:rPr>
        <w:t>（八）响应文件的递交</w:t>
      </w:r>
    </w:p>
    <w:p>
      <w:pPr>
        <w:pStyle w:val="31"/>
        <w:spacing w:line="276" w:lineRule="auto"/>
        <w:ind w:firstLine="480" w:firstLineChars="200"/>
        <w:rPr>
          <w:rFonts w:hint="eastAsia" w:hAnsi="宋体"/>
          <w:sz w:val="24"/>
        </w:rPr>
      </w:pPr>
      <w:r>
        <w:rPr>
          <w:rFonts w:hint="eastAsia" w:hAnsi="宋体"/>
          <w:sz w:val="24"/>
        </w:rPr>
        <w:t>1、响应文件的密封与标记</w:t>
      </w:r>
    </w:p>
    <w:p>
      <w:pPr>
        <w:pStyle w:val="31"/>
        <w:spacing w:line="276" w:lineRule="auto"/>
        <w:ind w:firstLine="480" w:firstLineChars="200"/>
        <w:rPr>
          <w:rFonts w:hint="eastAsia" w:hAnsi="宋体"/>
          <w:sz w:val="24"/>
        </w:rPr>
      </w:pPr>
      <w:r>
        <w:rPr>
          <w:rFonts w:hint="eastAsia" w:hAnsi="宋体"/>
          <w:sz w:val="24"/>
        </w:rPr>
        <w:t>1.1响应文件的正本、副本均应密封送达磋商地点，应在封套上注明项目名称、供应商名称。若正本、副本分别进行密封的，还应在封套上注明“正本”、“副本”字样。</w:t>
      </w:r>
    </w:p>
    <w:p>
      <w:pPr>
        <w:pStyle w:val="31"/>
        <w:spacing w:line="276" w:lineRule="auto"/>
        <w:ind w:firstLine="480" w:firstLineChars="200"/>
        <w:rPr>
          <w:rFonts w:hint="eastAsia" w:hAnsi="宋体"/>
          <w:sz w:val="24"/>
        </w:rPr>
      </w:pPr>
      <w:r>
        <w:rPr>
          <w:rFonts w:hint="eastAsia" w:hAnsi="宋体"/>
          <w:sz w:val="24"/>
        </w:rPr>
        <w:t>1.2封套的封口处应加盖供应商公章或由法定代表人授权代表签字。</w:t>
      </w:r>
    </w:p>
    <w:p>
      <w:pPr>
        <w:pStyle w:val="31"/>
        <w:spacing w:line="276" w:lineRule="auto"/>
        <w:ind w:firstLine="480" w:firstLineChars="200"/>
        <w:rPr>
          <w:rFonts w:hint="eastAsia" w:hAnsi="宋体"/>
          <w:sz w:val="24"/>
        </w:rPr>
      </w:pPr>
      <w:r>
        <w:rPr>
          <w:rFonts w:hint="eastAsia" w:hAnsi="宋体"/>
          <w:sz w:val="24"/>
        </w:rPr>
        <w:t>2、如果未按上述规定进行密封和标记，采购人对响应文件误投、丢失或提前拆封不负责任。</w:t>
      </w:r>
    </w:p>
    <w:p>
      <w:pPr>
        <w:pStyle w:val="4"/>
        <w:spacing w:line="276" w:lineRule="auto"/>
        <w:ind w:firstLine="482" w:firstLineChars="200"/>
        <w:rPr>
          <w:rFonts w:hint="eastAsia"/>
          <w:b/>
          <w:sz w:val="24"/>
        </w:rPr>
      </w:pPr>
      <w:bookmarkStart w:id="48" w:name="_Toc441065682"/>
      <w:bookmarkStart w:id="49" w:name="_Toc6458"/>
      <w:r>
        <w:rPr>
          <w:rFonts w:hint="eastAsia"/>
          <w:b/>
          <w:sz w:val="24"/>
        </w:rPr>
        <w:t>四、</w:t>
      </w:r>
      <w:bookmarkEnd w:id="48"/>
      <w:r>
        <w:rPr>
          <w:rFonts w:hint="eastAsia"/>
          <w:b/>
          <w:sz w:val="24"/>
        </w:rPr>
        <w:t>竞争性磋商程序</w:t>
      </w:r>
      <w:bookmarkEnd w:id="49"/>
    </w:p>
    <w:p>
      <w:pPr>
        <w:spacing w:line="276" w:lineRule="auto"/>
        <w:ind w:firstLine="480" w:firstLineChars="200"/>
        <w:rPr>
          <w:rFonts w:hint="eastAsia" w:ascii="宋体" w:hAnsi="宋体"/>
          <w:sz w:val="24"/>
        </w:rPr>
      </w:pPr>
      <w:r>
        <w:rPr>
          <w:rFonts w:hint="eastAsia" w:ascii="宋体" w:hAnsi="宋体"/>
          <w:sz w:val="24"/>
        </w:rPr>
        <w:t>（一）磋商应当在磋商文件中“竞争性磋商邀请书”确定的时间和地点公开进行。</w:t>
      </w:r>
    </w:p>
    <w:p>
      <w:pPr>
        <w:spacing w:line="276" w:lineRule="auto"/>
        <w:ind w:firstLine="480" w:firstLineChars="200"/>
        <w:rPr>
          <w:rFonts w:hint="eastAsia" w:ascii="宋体" w:hAnsi="宋体"/>
          <w:sz w:val="24"/>
        </w:rPr>
      </w:pPr>
      <w:r>
        <w:rPr>
          <w:rFonts w:hint="eastAsia" w:ascii="宋体" w:hAnsi="宋体"/>
          <w:sz w:val="24"/>
        </w:rPr>
        <w:t>（二）磋商评审活动邀请采购人、财政部门和有关监督部门代表参加，财政部门和有关监督部门可视情况派员现场监督。</w:t>
      </w:r>
    </w:p>
    <w:p>
      <w:pPr>
        <w:spacing w:line="276" w:lineRule="auto"/>
        <w:ind w:firstLine="480" w:firstLineChars="200"/>
        <w:rPr>
          <w:rFonts w:hint="eastAsia" w:ascii="宋体" w:hAnsi="宋体"/>
          <w:sz w:val="24"/>
        </w:rPr>
      </w:pPr>
      <w:r>
        <w:rPr>
          <w:rFonts w:hint="eastAsia" w:ascii="宋体" w:hAnsi="宋体"/>
          <w:sz w:val="24"/>
        </w:rPr>
        <w:t>（三）按磋商文件规定的响应文件提交截止时间内，供应商法定代表人或授权代表签到并提交响应文件，磋商保证金。</w:t>
      </w:r>
    </w:p>
    <w:p>
      <w:pPr>
        <w:spacing w:line="276" w:lineRule="auto"/>
        <w:ind w:firstLine="480" w:firstLineChars="200"/>
        <w:rPr>
          <w:rFonts w:hint="eastAsia" w:ascii="宋体" w:hAnsi="宋体"/>
          <w:sz w:val="24"/>
        </w:rPr>
      </w:pPr>
      <w:r>
        <w:rPr>
          <w:rFonts w:hint="eastAsia" w:ascii="宋体" w:hAnsi="宋体"/>
          <w:sz w:val="24"/>
        </w:rPr>
        <w:t>（四）磋商评审前，由供应商或者其推选的授权代表检查响应文件的密封情况，经确认密封完好的响应文件，由采购人工作人员当众拆封。</w:t>
      </w:r>
    </w:p>
    <w:p>
      <w:pPr>
        <w:spacing w:line="276" w:lineRule="auto"/>
        <w:ind w:firstLine="480" w:firstLineChars="200"/>
        <w:rPr>
          <w:rFonts w:hint="eastAsia" w:ascii="宋体" w:hAnsi="宋体"/>
          <w:sz w:val="24"/>
        </w:rPr>
      </w:pPr>
      <w:r>
        <w:rPr>
          <w:rFonts w:hint="eastAsia" w:ascii="宋体" w:hAnsi="宋体"/>
          <w:sz w:val="24"/>
        </w:rPr>
        <w:t>（五）响应文件转入评标室由磋商小组评审。</w:t>
      </w:r>
    </w:p>
    <w:p>
      <w:pPr>
        <w:spacing w:line="276" w:lineRule="auto"/>
        <w:ind w:firstLine="480" w:firstLineChars="200"/>
        <w:rPr>
          <w:rFonts w:hint="eastAsia" w:ascii="宋体" w:hAnsi="宋体"/>
          <w:sz w:val="24"/>
        </w:rPr>
      </w:pPr>
      <w:r>
        <w:rPr>
          <w:rFonts w:hint="eastAsia" w:ascii="宋体" w:hAnsi="宋体"/>
          <w:sz w:val="24"/>
        </w:rPr>
        <w:t>（九）磋商小组对响应文件进行资格性和符合性审查。</w:t>
      </w:r>
    </w:p>
    <w:p>
      <w:pPr>
        <w:spacing w:line="276" w:lineRule="auto"/>
        <w:ind w:firstLine="480" w:firstLineChars="200"/>
        <w:rPr>
          <w:rFonts w:hint="eastAsia" w:ascii="宋体" w:hAnsi="宋体"/>
          <w:sz w:val="24"/>
        </w:rPr>
      </w:pPr>
      <w:r>
        <w:rPr>
          <w:rFonts w:hint="eastAsia" w:ascii="宋体" w:hAnsi="宋体"/>
          <w:sz w:val="24"/>
        </w:rPr>
        <w:t>（十）</w:t>
      </w:r>
      <w:r>
        <w:rPr>
          <w:rFonts w:hint="eastAsia" w:ascii="宋体" w:hAnsi="宋体"/>
          <w:b/>
          <w:sz w:val="24"/>
          <w:szCs w:val="24"/>
        </w:rPr>
        <w:t>竞争性磋商以签到的顺序作为磋商顺序</w:t>
      </w:r>
      <w:r>
        <w:rPr>
          <w:rFonts w:hint="eastAsia" w:ascii="宋体" w:hAnsi="宋体"/>
          <w:sz w:val="24"/>
          <w:szCs w:val="24"/>
        </w:rPr>
        <w:t>，</w:t>
      </w:r>
      <w:r>
        <w:rPr>
          <w:rFonts w:hint="eastAsia" w:ascii="宋体" w:hAnsi="宋体"/>
          <w:sz w:val="24"/>
        </w:rPr>
        <w:t>磋商小组</w:t>
      </w:r>
      <w:r>
        <w:rPr>
          <w:rFonts w:hint="eastAsia" w:ascii="宋体" w:hAnsi="宋体" w:cs="方正仿宋_GBK"/>
          <w:sz w:val="24"/>
          <w:szCs w:val="24"/>
        </w:rPr>
        <w:t>分别与各供应商进行磋商，供应商入场参与磋商的人员不得超过2人，其中包含法定代表人授权代表和项目负责人（可为同一人）。若有实质性变动，供应商应作出相应承诺或重新提交响应文件（具体见</w:t>
      </w:r>
      <w:r>
        <w:rPr>
          <w:rFonts w:hint="eastAsia" w:ascii="宋体" w:hAnsi="宋体"/>
          <w:sz w:val="24"/>
        </w:rPr>
        <w:t>第三篇“评审程序”内容）</w:t>
      </w:r>
      <w:r>
        <w:rPr>
          <w:rFonts w:hint="eastAsia" w:ascii="宋体" w:hAnsi="宋体" w:cs="方正仿宋_GBK"/>
          <w:sz w:val="24"/>
          <w:szCs w:val="24"/>
        </w:rPr>
        <w:t>。</w:t>
      </w:r>
    </w:p>
    <w:p>
      <w:pPr>
        <w:spacing w:line="276" w:lineRule="auto"/>
        <w:ind w:firstLine="480" w:firstLineChars="200"/>
        <w:rPr>
          <w:rFonts w:hint="eastAsia" w:ascii="宋体" w:hAnsi="宋体"/>
          <w:sz w:val="24"/>
        </w:rPr>
      </w:pPr>
      <w:r>
        <w:rPr>
          <w:rFonts w:hint="eastAsia" w:ascii="宋体" w:hAnsi="宋体"/>
          <w:sz w:val="24"/>
        </w:rPr>
        <w:t>（十一）供应商按磋商情况，提交最后报价。最后报价应统一填写，同时提交，并由主持人当众宣读合格供应商的最后报价。</w:t>
      </w:r>
      <w:r>
        <w:rPr>
          <w:rFonts w:hint="eastAsia" w:ascii="宋体" w:hAnsi="宋体"/>
          <w:b/>
          <w:bCs/>
          <w:sz w:val="24"/>
          <w:szCs w:val="24"/>
        </w:rPr>
        <w:t>原则上该次报价不得高于上一轮报价，超出规定时间没有提交最终报价或最终报价高于原报价的或最终报价有歧义的，视为供应商放弃最终报价，以其前一次报价为准。最终报价如只报总价，则最终单项报价以最终总报价与第一轮总报价之比同比例下浮（下浮比例的计算保留到小数点后两位）。</w:t>
      </w:r>
    </w:p>
    <w:p>
      <w:pPr>
        <w:pStyle w:val="31"/>
        <w:spacing w:line="276" w:lineRule="auto"/>
        <w:ind w:firstLine="480" w:firstLineChars="200"/>
        <w:rPr>
          <w:rFonts w:hint="eastAsia" w:hAnsi="宋体"/>
          <w:sz w:val="24"/>
        </w:rPr>
      </w:pPr>
      <w:r>
        <w:rPr>
          <w:rFonts w:hint="eastAsia" w:hAnsi="宋体"/>
          <w:sz w:val="24"/>
        </w:rPr>
        <w:t>（十二）磋商小组采用综合评分法对提交最后报价的供应商的响应文件和最后报价进行综合评分。</w:t>
      </w:r>
    </w:p>
    <w:p>
      <w:pPr>
        <w:pStyle w:val="4"/>
        <w:spacing w:line="276" w:lineRule="auto"/>
        <w:ind w:firstLine="482" w:firstLineChars="200"/>
        <w:rPr>
          <w:rFonts w:hint="eastAsia"/>
          <w:b/>
          <w:sz w:val="24"/>
        </w:rPr>
      </w:pPr>
      <w:bookmarkStart w:id="50" w:name="_Toc441065684"/>
      <w:bookmarkStart w:id="51" w:name="_Toc7489"/>
      <w:r>
        <w:rPr>
          <w:rFonts w:hint="eastAsia"/>
          <w:b/>
          <w:sz w:val="24"/>
        </w:rPr>
        <w:t>五、</w:t>
      </w:r>
      <w:bookmarkEnd w:id="50"/>
      <w:r>
        <w:rPr>
          <w:rFonts w:hint="eastAsia"/>
          <w:b/>
          <w:sz w:val="24"/>
        </w:rPr>
        <w:t>确定成交供应商</w:t>
      </w:r>
      <w:bookmarkEnd w:id="51"/>
    </w:p>
    <w:p>
      <w:pPr>
        <w:snapToGrid w:val="0"/>
        <w:spacing w:line="276" w:lineRule="auto"/>
        <w:ind w:firstLine="480" w:firstLineChars="200"/>
        <w:rPr>
          <w:rFonts w:hint="eastAsia" w:ascii="宋体" w:hAnsi="宋体"/>
          <w:sz w:val="24"/>
        </w:rPr>
      </w:pPr>
      <w:r>
        <w:rPr>
          <w:rFonts w:hint="eastAsia" w:ascii="宋体" w:hAnsi="宋体"/>
          <w:sz w:val="24"/>
        </w:rPr>
        <w:t>（一）成交原则</w:t>
      </w:r>
    </w:p>
    <w:p>
      <w:pPr>
        <w:snapToGrid w:val="0"/>
        <w:spacing w:line="276" w:lineRule="auto"/>
        <w:ind w:firstLine="480" w:firstLineChars="200"/>
        <w:rPr>
          <w:rFonts w:hint="eastAsia" w:ascii="宋体" w:hAnsi="宋体"/>
          <w:sz w:val="24"/>
        </w:rPr>
      </w:pPr>
      <w:r>
        <w:rPr>
          <w:rFonts w:hint="eastAsia" w:ascii="宋体" w:hAnsi="宋体"/>
          <w:sz w:val="24"/>
        </w:rPr>
        <w:t>采购人或其授权的磋商小组应按照评审报告中推荐的成交候选人排名顺序确定成交供应商。</w:t>
      </w:r>
    </w:p>
    <w:p>
      <w:pPr>
        <w:pStyle w:val="31"/>
        <w:numPr>
          <w:ilvl w:val="0"/>
          <w:numId w:val="19"/>
        </w:numPr>
        <w:spacing w:line="276" w:lineRule="auto"/>
        <w:ind w:firstLine="480" w:firstLineChars="200"/>
        <w:rPr>
          <w:rFonts w:hint="eastAsia" w:hAnsi="宋体"/>
          <w:sz w:val="24"/>
        </w:rPr>
      </w:pPr>
      <w:r>
        <w:rPr>
          <w:rFonts w:hint="eastAsia" w:hAnsi="宋体"/>
          <w:sz w:val="24"/>
        </w:rPr>
        <w:t>确定程序</w:t>
      </w:r>
    </w:p>
    <w:p>
      <w:pPr>
        <w:pStyle w:val="31"/>
        <w:spacing w:line="276" w:lineRule="auto"/>
        <w:ind w:left="480"/>
        <w:rPr>
          <w:rFonts w:hint="eastAsia" w:hAnsi="宋体"/>
          <w:b/>
          <w:sz w:val="24"/>
        </w:rPr>
      </w:pPr>
      <w:r>
        <w:rPr>
          <w:rFonts w:hint="eastAsia" w:hAnsi="宋体"/>
          <w:b/>
          <w:sz w:val="24"/>
        </w:rPr>
        <w:t>本项目</w:t>
      </w:r>
      <w:r>
        <w:rPr>
          <w:rFonts w:hint="eastAsia" w:hAnsi="宋体"/>
          <w:b/>
          <w:bCs/>
          <w:sz w:val="24"/>
        </w:rPr>
        <w:t>授权磋商小组直接确定成交供应商</w:t>
      </w:r>
    </w:p>
    <w:p>
      <w:pPr>
        <w:pStyle w:val="31"/>
        <w:spacing w:line="276" w:lineRule="auto"/>
        <w:ind w:firstLine="424" w:firstLineChars="177"/>
        <w:rPr>
          <w:rFonts w:hint="eastAsia" w:hAnsi="宋体"/>
          <w:sz w:val="24"/>
        </w:rPr>
      </w:pPr>
      <w:r>
        <w:rPr>
          <w:rFonts w:hint="eastAsia" w:hAnsi="宋体"/>
          <w:sz w:val="24"/>
        </w:rPr>
        <w:t xml:space="preserve"> 注：</w:t>
      </w:r>
    </w:p>
    <w:p>
      <w:pPr>
        <w:pStyle w:val="31"/>
        <w:spacing w:line="276" w:lineRule="auto"/>
        <w:ind w:firstLine="569" w:firstLineChars="236"/>
        <w:rPr>
          <w:rFonts w:hint="eastAsia" w:hAnsi="宋体"/>
          <w:b/>
          <w:bCs/>
          <w:sz w:val="24"/>
        </w:rPr>
      </w:pPr>
      <w:r>
        <w:rPr>
          <w:rFonts w:hint="eastAsia" w:hAnsi="宋体"/>
          <w:b/>
          <w:bCs/>
          <w:sz w:val="24"/>
        </w:rPr>
        <w:t>（采购人确定成交供应商的情况）</w:t>
      </w:r>
    </w:p>
    <w:p>
      <w:pPr>
        <w:pStyle w:val="31"/>
        <w:spacing w:line="276" w:lineRule="auto"/>
        <w:ind w:firstLine="480" w:firstLineChars="200"/>
        <w:rPr>
          <w:rFonts w:hint="eastAsia" w:hAnsi="宋体"/>
          <w:sz w:val="24"/>
        </w:rPr>
      </w:pPr>
      <w:r>
        <w:rPr>
          <w:rFonts w:hint="eastAsia" w:hAnsi="宋体"/>
          <w:sz w:val="24"/>
        </w:rPr>
        <w:t>1、采购人应当自评审结束之日起2个工作日内将评审报告送交采购人。</w:t>
      </w:r>
    </w:p>
    <w:p>
      <w:pPr>
        <w:pStyle w:val="31"/>
        <w:spacing w:line="276" w:lineRule="auto"/>
        <w:ind w:firstLine="480" w:firstLineChars="200"/>
        <w:rPr>
          <w:rFonts w:hint="eastAsia" w:hAnsi="宋体"/>
          <w:sz w:val="24"/>
        </w:rPr>
      </w:pPr>
      <w:r>
        <w:rPr>
          <w:rFonts w:hint="eastAsia" w:hAnsi="宋体"/>
          <w:sz w:val="24"/>
        </w:rPr>
        <w:t>2、采购人应当自收到评审报告之日起5个工作日内,按评审报告推荐的中标候选人顺序确定。确认后，采购人在重庆市政府采购网和</w:t>
      </w:r>
      <w:r>
        <w:rPr>
          <w:rFonts w:hint="eastAsia" w:hAnsi="宋体"/>
          <w:sz w:val="24"/>
          <w:szCs w:val="24"/>
        </w:rPr>
        <w:t>重庆市公共资源交易网（北碚区）</w:t>
      </w:r>
      <w:r>
        <w:rPr>
          <w:rFonts w:hint="eastAsia" w:hAnsi="宋体"/>
          <w:sz w:val="24"/>
        </w:rPr>
        <w:t>对成交结果进行公告。</w:t>
      </w:r>
    </w:p>
    <w:p>
      <w:pPr>
        <w:pStyle w:val="31"/>
        <w:spacing w:line="276" w:lineRule="auto"/>
        <w:ind w:firstLine="480" w:firstLineChars="200"/>
        <w:rPr>
          <w:rFonts w:hint="eastAsia" w:hAnsi="宋体"/>
          <w:sz w:val="24"/>
        </w:rPr>
      </w:pPr>
      <w:r>
        <w:rPr>
          <w:rFonts w:hint="eastAsia" w:hAnsi="宋体"/>
          <w:sz w:val="24"/>
        </w:rPr>
        <w:t>公告内容包括项目名称和项目编号，磋商小组成员名单，采购人和采购人名称、地址、联系方式，成交供应商信息公示（包含成交供应商地址，成家价格，服务期或实施时间）。</w:t>
      </w:r>
    </w:p>
    <w:p>
      <w:pPr>
        <w:pStyle w:val="31"/>
        <w:spacing w:line="276" w:lineRule="auto"/>
        <w:ind w:firstLine="480" w:firstLineChars="200"/>
        <w:rPr>
          <w:rFonts w:hint="eastAsia" w:hAnsi="宋体"/>
          <w:sz w:val="24"/>
        </w:rPr>
      </w:pPr>
      <w:r>
        <w:rPr>
          <w:rFonts w:hint="eastAsia" w:hAnsi="宋体"/>
          <w:sz w:val="24"/>
        </w:rPr>
        <w:t>4、如有供应商对成交结果提出质疑的，在质疑处理完毕后发出中标通知书。</w:t>
      </w:r>
    </w:p>
    <w:p>
      <w:pPr>
        <w:pStyle w:val="31"/>
        <w:spacing w:line="276" w:lineRule="auto"/>
        <w:ind w:firstLine="480" w:firstLineChars="200"/>
        <w:rPr>
          <w:rFonts w:hint="eastAsia" w:hAnsi="宋体"/>
          <w:sz w:val="24"/>
        </w:rPr>
      </w:pPr>
      <w:r>
        <w:rPr>
          <w:rFonts w:hint="eastAsia" w:hAnsi="宋体"/>
          <w:sz w:val="24"/>
        </w:rPr>
        <w:t>5、成交供应商变更</w:t>
      </w:r>
    </w:p>
    <w:p>
      <w:pPr>
        <w:pStyle w:val="31"/>
        <w:spacing w:line="276" w:lineRule="auto"/>
        <w:ind w:firstLine="480" w:firstLineChars="200"/>
        <w:rPr>
          <w:rFonts w:hint="eastAsia" w:hAnsi="宋体"/>
          <w:sz w:val="24"/>
        </w:rPr>
      </w:pPr>
      <w:r>
        <w:rPr>
          <w:rFonts w:hint="eastAsia" w:hAnsi="宋体"/>
          <w:sz w:val="24"/>
        </w:rPr>
        <w:t>5.1成交供应商拒绝与采购人签订合同的，采购人可以按照评审报告推荐的成交候选人名单排序，确定下一候选人为成交供应商，也可以重新开展政府采购活动。</w:t>
      </w:r>
    </w:p>
    <w:p>
      <w:pPr>
        <w:snapToGrid w:val="0"/>
        <w:spacing w:line="276" w:lineRule="auto"/>
        <w:ind w:firstLine="480" w:firstLineChars="200"/>
        <w:rPr>
          <w:rFonts w:hint="eastAsia" w:ascii="宋体" w:hAnsi="宋体"/>
          <w:sz w:val="24"/>
        </w:rPr>
      </w:pPr>
      <w:r>
        <w:rPr>
          <w:rFonts w:hint="eastAsia" w:ascii="宋体" w:hAnsi="宋体"/>
          <w:sz w:val="24"/>
        </w:rPr>
        <w:t>5.2成交供应商无充分理由放弃的，采购人将会同采购代理机构把相关情况报财政部门，财政部门将根据财政部十八号令第七十五条的规定对违规供应商进行处罚。</w:t>
      </w:r>
    </w:p>
    <w:p>
      <w:pPr>
        <w:pStyle w:val="31"/>
        <w:spacing w:line="276" w:lineRule="auto"/>
        <w:ind w:firstLine="569" w:firstLineChars="236"/>
        <w:rPr>
          <w:rFonts w:hint="eastAsia" w:hAnsi="宋体"/>
          <w:b/>
          <w:bCs/>
          <w:sz w:val="24"/>
        </w:rPr>
      </w:pPr>
      <w:r>
        <w:rPr>
          <w:rFonts w:hint="eastAsia" w:hAnsi="宋体"/>
          <w:b/>
          <w:bCs/>
          <w:sz w:val="24"/>
        </w:rPr>
        <w:t>（授权磋商小组确定成交供应商的情况）</w:t>
      </w:r>
    </w:p>
    <w:p>
      <w:pPr>
        <w:pStyle w:val="31"/>
        <w:spacing w:line="276" w:lineRule="auto"/>
        <w:ind w:firstLine="480" w:firstLineChars="200"/>
        <w:rPr>
          <w:rFonts w:hint="eastAsia" w:hAnsi="宋体"/>
          <w:sz w:val="24"/>
        </w:rPr>
      </w:pPr>
      <w:r>
        <w:rPr>
          <w:rFonts w:hint="eastAsia" w:hAnsi="宋体"/>
          <w:sz w:val="24"/>
        </w:rPr>
        <w:t>1、评审工作结束，由采购人现场确认后，采购人在重庆市政府采购网和重庆市公共资源交易网（北碚区）对成交结果进行公告。</w:t>
      </w:r>
    </w:p>
    <w:p>
      <w:pPr>
        <w:pStyle w:val="31"/>
        <w:spacing w:line="276" w:lineRule="auto"/>
        <w:ind w:firstLine="480" w:firstLineChars="200"/>
        <w:rPr>
          <w:rFonts w:hint="eastAsia" w:hAnsi="宋体"/>
          <w:sz w:val="24"/>
        </w:rPr>
      </w:pPr>
      <w:r>
        <w:rPr>
          <w:rFonts w:hint="eastAsia" w:hAnsi="宋体"/>
          <w:sz w:val="24"/>
        </w:rPr>
        <w:t>2、公告内容包括招标项目名称和项目编号，评标委员会成员名单，采购人和采购人名称、地址、联系方式，成交供应商的情况（包含成交供应商地址，成交价格，服务期或实施时间）。</w:t>
      </w:r>
    </w:p>
    <w:p>
      <w:pPr>
        <w:pStyle w:val="31"/>
        <w:spacing w:line="276" w:lineRule="auto"/>
        <w:ind w:firstLine="480" w:firstLineChars="200"/>
        <w:rPr>
          <w:rFonts w:hint="eastAsia" w:hAnsi="宋体"/>
          <w:sz w:val="24"/>
        </w:rPr>
      </w:pPr>
      <w:r>
        <w:rPr>
          <w:rFonts w:hint="eastAsia" w:hAnsi="宋体"/>
          <w:sz w:val="24"/>
        </w:rPr>
        <w:t>3、如有供应商对评标结果提出质疑的，在质疑处理完毕后发出中标通知书。</w:t>
      </w:r>
    </w:p>
    <w:p>
      <w:pPr>
        <w:pStyle w:val="31"/>
        <w:spacing w:line="276" w:lineRule="auto"/>
        <w:ind w:firstLine="480" w:firstLineChars="200"/>
        <w:rPr>
          <w:rFonts w:hint="eastAsia" w:hAnsi="宋体"/>
          <w:sz w:val="24"/>
        </w:rPr>
      </w:pPr>
      <w:r>
        <w:rPr>
          <w:rFonts w:hint="eastAsia" w:hAnsi="宋体"/>
          <w:sz w:val="24"/>
        </w:rPr>
        <w:t>4、成交供应商变更</w:t>
      </w:r>
    </w:p>
    <w:p>
      <w:pPr>
        <w:pStyle w:val="31"/>
        <w:spacing w:line="276" w:lineRule="auto"/>
        <w:ind w:firstLine="480" w:firstLineChars="200"/>
        <w:rPr>
          <w:rFonts w:hint="eastAsia" w:hAnsi="宋体"/>
          <w:sz w:val="24"/>
        </w:rPr>
      </w:pPr>
      <w:r>
        <w:rPr>
          <w:rFonts w:hint="eastAsia" w:hAnsi="宋体"/>
          <w:sz w:val="24"/>
        </w:rPr>
        <w:t>4.1成交供应商拒绝与采购人签订合同的，采购人可以按照评审报告推荐的中标候选人名单排序，确定下一候选人为成交供应商，也可以重新开展政府采购活动。</w:t>
      </w:r>
    </w:p>
    <w:p>
      <w:pPr>
        <w:snapToGrid w:val="0"/>
        <w:spacing w:line="276" w:lineRule="auto"/>
        <w:ind w:firstLine="480" w:firstLineChars="200"/>
        <w:rPr>
          <w:rFonts w:hint="eastAsia" w:ascii="宋体" w:hAnsi="宋体"/>
          <w:sz w:val="24"/>
        </w:rPr>
      </w:pPr>
      <w:r>
        <w:rPr>
          <w:rFonts w:hint="eastAsia" w:ascii="宋体" w:hAnsi="宋体"/>
          <w:sz w:val="24"/>
        </w:rPr>
        <w:t>4.2成交供应商无充分理由放弃的，采购人将会同采购代理机构把相关情况报财政部门，财政部门将根据相关规定对违规供应商进行处罚。</w:t>
      </w:r>
    </w:p>
    <w:p>
      <w:pPr>
        <w:pStyle w:val="4"/>
        <w:spacing w:line="276" w:lineRule="auto"/>
        <w:ind w:firstLine="482" w:firstLineChars="200"/>
        <w:rPr>
          <w:rFonts w:hint="eastAsia"/>
          <w:b/>
          <w:sz w:val="24"/>
        </w:rPr>
      </w:pPr>
      <w:bookmarkStart w:id="52" w:name="_Toc441065685"/>
      <w:bookmarkStart w:id="53" w:name="_Toc25464"/>
      <w:r>
        <w:rPr>
          <w:rFonts w:hint="eastAsia"/>
          <w:b/>
          <w:sz w:val="24"/>
        </w:rPr>
        <w:t>六、成交通知书</w:t>
      </w:r>
      <w:bookmarkEnd w:id="52"/>
      <w:bookmarkEnd w:id="53"/>
    </w:p>
    <w:p>
      <w:pPr>
        <w:ind w:firstLine="566" w:firstLineChars="236"/>
        <w:rPr>
          <w:rFonts w:hint="eastAsia" w:ascii="宋体" w:hAnsi="宋体"/>
          <w:sz w:val="24"/>
        </w:rPr>
      </w:pPr>
      <w:r>
        <w:rPr>
          <w:rFonts w:hint="eastAsia" w:ascii="宋体" w:hAnsi="宋体"/>
          <w:sz w:val="24"/>
        </w:rPr>
        <w:t>本项目不发成交通知书，公示期结束后无异议时，采购人直接通知拟中标人。</w:t>
      </w:r>
    </w:p>
    <w:p>
      <w:pPr>
        <w:pStyle w:val="4"/>
        <w:spacing w:line="276" w:lineRule="auto"/>
        <w:ind w:firstLine="482" w:firstLineChars="200"/>
        <w:rPr>
          <w:rFonts w:hint="eastAsia"/>
          <w:b/>
          <w:sz w:val="24"/>
        </w:rPr>
      </w:pPr>
      <w:bookmarkStart w:id="54" w:name="_Toc441065686"/>
      <w:bookmarkStart w:id="55" w:name="_Toc10267"/>
      <w:r>
        <w:rPr>
          <w:rFonts w:hint="eastAsia"/>
          <w:b/>
          <w:sz w:val="24"/>
        </w:rPr>
        <w:t>七、关于质疑和投诉</w:t>
      </w:r>
      <w:bookmarkEnd w:id="54"/>
      <w:bookmarkEnd w:id="55"/>
    </w:p>
    <w:p>
      <w:pPr>
        <w:spacing w:line="276" w:lineRule="auto"/>
        <w:ind w:right="12" w:firstLine="480"/>
        <w:rPr>
          <w:rFonts w:hint="eastAsia" w:ascii="宋体" w:hAnsi="宋体"/>
          <w:sz w:val="24"/>
        </w:rPr>
      </w:pPr>
      <w:r>
        <w:rPr>
          <w:rFonts w:hint="eastAsia" w:ascii="宋体" w:hAnsi="宋体"/>
          <w:sz w:val="24"/>
        </w:rPr>
        <w:t>（一）质疑内容、时限</w:t>
      </w:r>
    </w:p>
    <w:p>
      <w:pPr>
        <w:spacing w:line="276" w:lineRule="auto"/>
        <w:ind w:right="12" w:firstLine="480"/>
        <w:rPr>
          <w:rFonts w:hint="eastAsia" w:ascii="宋体" w:hAnsi="宋体"/>
          <w:sz w:val="24"/>
        </w:rPr>
      </w:pPr>
      <w:r>
        <w:rPr>
          <w:rFonts w:hint="eastAsia" w:ascii="宋体" w:hAnsi="宋体"/>
          <w:sz w:val="24"/>
        </w:rPr>
        <w:t>1、供应商对成交结果有异议的，应当在成交结果发布之日起七个工作日内以书面形式向采购人提出质疑，并附相关证明材料。</w:t>
      </w:r>
    </w:p>
    <w:p>
      <w:pPr>
        <w:spacing w:line="276" w:lineRule="auto"/>
        <w:ind w:right="12" w:firstLine="480"/>
        <w:rPr>
          <w:rFonts w:hint="eastAsia" w:ascii="宋体" w:hAnsi="宋体"/>
          <w:sz w:val="24"/>
        </w:rPr>
      </w:pPr>
      <w:r>
        <w:rPr>
          <w:rFonts w:hint="eastAsia" w:ascii="宋体" w:hAnsi="宋体"/>
          <w:sz w:val="24"/>
        </w:rPr>
        <w:t>2、供应商对采购文件中供应商特定资格条件、技术质量和商务要求、评审标准及评审细则有异议的，应向采购人提出质疑。</w:t>
      </w:r>
    </w:p>
    <w:p>
      <w:pPr>
        <w:spacing w:line="276" w:lineRule="auto"/>
        <w:ind w:right="12" w:firstLine="480"/>
        <w:rPr>
          <w:rFonts w:hint="eastAsia" w:ascii="宋体" w:hAnsi="宋体"/>
          <w:sz w:val="24"/>
        </w:rPr>
      </w:pPr>
      <w:r>
        <w:rPr>
          <w:rFonts w:hint="eastAsia" w:ascii="宋体" w:hAnsi="宋体"/>
          <w:sz w:val="24"/>
        </w:rPr>
        <w:t>（二）质疑答复时限</w:t>
      </w:r>
    </w:p>
    <w:p>
      <w:pPr>
        <w:spacing w:line="276" w:lineRule="auto"/>
        <w:ind w:right="12" w:firstLine="480"/>
        <w:rPr>
          <w:rFonts w:hint="eastAsia" w:ascii="宋体" w:hAnsi="宋体"/>
          <w:sz w:val="24"/>
        </w:rPr>
      </w:pPr>
      <w:r>
        <w:rPr>
          <w:rFonts w:hint="eastAsia" w:ascii="宋体" w:hAnsi="宋体"/>
          <w:sz w:val="24"/>
        </w:rPr>
        <w:t>采购人在收到供应商书面质疑后七个工作日内，对质疑内容作出答复。</w:t>
      </w:r>
    </w:p>
    <w:p>
      <w:pPr>
        <w:spacing w:line="276" w:lineRule="auto"/>
        <w:ind w:right="12" w:firstLine="480"/>
        <w:rPr>
          <w:rFonts w:hint="eastAsia" w:ascii="宋体" w:hAnsi="宋体"/>
          <w:sz w:val="24"/>
        </w:rPr>
      </w:pPr>
      <w:r>
        <w:rPr>
          <w:rFonts w:hint="eastAsia" w:ascii="宋体" w:hAnsi="宋体"/>
          <w:sz w:val="24"/>
        </w:rPr>
        <w:t>（三）不予受理或暂缓受理</w:t>
      </w:r>
    </w:p>
    <w:p>
      <w:pPr>
        <w:spacing w:line="276" w:lineRule="auto"/>
        <w:ind w:right="12" w:firstLine="480"/>
        <w:rPr>
          <w:rFonts w:hint="eastAsia" w:ascii="宋体" w:hAnsi="宋体"/>
          <w:sz w:val="24"/>
        </w:rPr>
      </w:pPr>
      <w:r>
        <w:rPr>
          <w:rFonts w:hint="eastAsia" w:ascii="宋体" w:hAnsi="宋体"/>
          <w:sz w:val="24"/>
        </w:rPr>
        <w:t>1、质疑有下列情形之一的，不予受理：</w:t>
      </w:r>
    </w:p>
    <w:p>
      <w:pPr>
        <w:spacing w:line="276" w:lineRule="auto"/>
        <w:ind w:right="12" w:firstLine="480"/>
        <w:rPr>
          <w:rFonts w:hint="eastAsia" w:ascii="宋体" w:hAnsi="宋体"/>
          <w:sz w:val="24"/>
        </w:rPr>
      </w:pPr>
      <w:r>
        <w:rPr>
          <w:rFonts w:hint="eastAsia" w:ascii="宋体" w:hAnsi="宋体"/>
          <w:sz w:val="24"/>
        </w:rPr>
        <w:t>1.1质疑供应商参与了磋商活动后，再对磋商文件内容提出质疑的；</w:t>
      </w:r>
    </w:p>
    <w:p>
      <w:pPr>
        <w:spacing w:line="276" w:lineRule="auto"/>
        <w:ind w:right="12" w:firstLine="480"/>
        <w:rPr>
          <w:rFonts w:hint="eastAsia" w:ascii="宋体" w:hAnsi="宋体"/>
          <w:sz w:val="24"/>
        </w:rPr>
      </w:pPr>
      <w:r>
        <w:rPr>
          <w:rFonts w:hint="eastAsia" w:ascii="宋体" w:hAnsi="宋体"/>
          <w:sz w:val="24"/>
        </w:rPr>
        <w:t>1.2质疑超过有效期的；</w:t>
      </w:r>
    </w:p>
    <w:p>
      <w:pPr>
        <w:spacing w:line="276" w:lineRule="auto"/>
        <w:ind w:right="12" w:firstLine="480"/>
        <w:rPr>
          <w:rFonts w:hint="eastAsia" w:ascii="宋体" w:hAnsi="宋体"/>
          <w:sz w:val="24"/>
        </w:rPr>
      </w:pPr>
      <w:r>
        <w:rPr>
          <w:rFonts w:hint="eastAsia" w:ascii="宋体" w:hAnsi="宋体"/>
          <w:sz w:val="24"/>
        </w:rPr>
        <w:t>1.3对同一事项重复质疑的。</w:t>
      </w:r>
    </w:p>
    <w:p>
      <w:pPr>
        <w:spacing w:line="276" w:lineRule="auto"/>
        <w:ind w:right="12" w:firstLine="480"/>
        <w:rPr>
          <w:rFonts w:hint="eastAsia" w:ascii="宋体" w:hAnsi="宋体"/>
          <w:sz w:val="24"/>
        </w:rPr>
      </w:pPr>
      <w:r>
        <w:rPr>
          <w:rFonts w:hint="eastAsia" w:ascii="宋体" w:hAnsi="宋体"/>
          <w:sz w:val="24"/>
        </w:rPr>
        <w:t>2、质疑有下列情形之一的，应暂不受理并告知供应商补充材料。供应商及时补充材料的，应予受理；逾期未补充的，不予受理：</w:t>
      </w:r>
    </w:p>
    <w:p>
      <w:pPr>
        <w:spacing w:line="276" w:lineRule="auto"/>
        <w:ind w:right="12" w:firstLine="480"/>
        <w:rPr>
          <w:rFonts w:hint="eastAsia" w:ascii="宋体" w:hAnsi="宋体"/>
          <w:sz w:val="24"/>
        </w:rPr>
      </w:pPr>
      <w:r>
        <w:rPr>
          <w:rFonts w:hint="eastAsia" w:ascii="宋体" w:hAnsi="宋体"/>
          <w:sz w:val="24"/>
        </w:rPr>
        <w:t>2.1质疑书格式和内容不符合国家或重庆市相关规定的；</w:t>
      </w:r>
    </w:p>
    <w:p>
      <w:pPr>
        <w:spacing w:line="276" w:lineRule="auto"/>
        <w:ind w:right="12" w:firstLine="480"/>
        <w:rPr>
          <w:rFonts w:hint="eastAsia" w:ascii="宋体" w:hAnsi="宋体"/>
          <w:sz w:val="24"/>
        </w:rPr>
      </w:pPr>
      <w:r>
        <w:rPr>
          <w:rFonts w:hint="eastAsia" w:ascii="宋体" w:hAnsi="宋体"/>
          <w:sz w:val="24"/>
        </w:rPr>
        <w:t>2.2质疑书提供的依据或证明材料不全的；</w:t>
      </w:r>
    </w:p>
    <w:p>
      <w:pPr>
        <w:spacing w:line="276" w:lineRule="auto"/>
        <w:ind w:right="12" w:firstLine="480"/>
        <w:rPr>
          <w:rFonts w:hint="eastAsia" w:ascii="宋体" w:hAnsi="宋体"/>
          <w:sz w:val="24"/>
        </w:rPr>
      </w:pPr>
      <w:r>
        <w:rPr>
          <w:rFonts w:hint="eastAsia" w:ascii="宋体" w:hAnsi="宋体"/>
          <w:sz w:val="24"/>
        </w:rPr>
        <w:t>2.3质疑书副本数量不足的。</w:t>
      </w:r>
    </w:p>
    <w:p>
      <w:pPr>
        <w:spacing w:line="276" w:lineRule="auto"/>
        <w:ind w:right="12" w:firstLine="480"/>
        <w:rPr>
          <w:rFonts w:hint="eastAsia" w:ascii="宋体" w:hAnsi="宋体"/>
          <w:sz w:val="24"/>
        </w:rPr>
      </w:pPr>
      <w:r>
        <w:rPr>
          <w:rFonts w:hint="eastAsia" w:ascii="宋体" w:hAnsi="宋体"/>
          <w:sz w:val="24"/>
        </w:rPr>
        <w:t>（四）投诉</w:t>
      </w:r>
    </w:p>
    <w:p>
      <w:pPr>
        <w:spacing w:line="276" w:lineRule="auto"/>
        <w:ind w:right="12" w:firstLine="480"/>
        <w:rPr>
          <w:rFonts w:hint="eastAsia" w:ascii="宋体" w:hAnsi="宋体"/>
          <w:sz w:val="24"/>
        </w:rPr>
      </w:pPr>
      <w:r>
        <w:rPr>
          <w:rFonts w:hint="eastAsia" w:ascii="宋体" w:hAnsi="宋体"/>
          <w:sz w:val="24"/>
        </w:rPr>
        <w:t>1、供应商对采购人的答复不满意，或者采购人未在规定时间内答复的，可在答复期满后十五个工作日内按有关规定，向同级财政部门投诉。</w:t>
      </w:r>
    </w:p>
    <w:p>
      <w:pPr>
        <w:spacing w:line="276" w:lineRule="auto"/>
        <w:ind w:right="12" w:firstLine="480"/>
        <w:rPr>
          <w:rFonts w:hint="eastAsia" w:ascii="宋体" w:hAnsi="宋体"/>
          <w:sz w:val="24"/>
        </w:rPr>
      </w:pPr>
      <w:r>
        <w:rPr>
          <w:rFonts w:hint="eastAsia" w:ascii="宋体" w:hAnsi="宋体"/>
          <w:sz w:val="24"/>
        </w:rPr>
        <w:t>2、在提出投诉时，应附送相关证明材料。投诉书及证明材料为外文的，应同时提供其中文译本；中文与外文意思不一致的，以中文为准。</w:t>
      </w:r>
    </w:p>
    <w:p>
      <w:pPr>
        <w:snapToGrid w:val="0"/>
        <w:spacing w:line="276" w:lineRule="auto"/>
        <w:ind w:firstLine="480" w:firstLineChars="200"/>
        <w:rPr>
          <w:rFonts w:hint="eastAsia" w:ascii="宋体" w:hAnsi="宋体"/>
          <w:sz w:val="24"/>
        </w:rPr>
      </w:pPr>
      <w:r>
        <w:rPr>
          <w:rFonts w:hint="eastAsia" w:ascii="宋体" w:hAnsi="宋体"/>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4"/>
        <w:spacing w:line="276" w:lineRule="auto"/>
        <w:ind w:firstLine="482" w:firstLineChars="200"/>
        <w:rPr>
          <w:rFonts w:hint="eastAsia"/>
          <w:b/>
          <w:sz w:val="24"/>
        </w:rPr>
      </w:pPr>
      <w:bookmarkStart w:id="56" w:name="_Toc441065689"/>
      <w:bookmarkStart w:id="57" w:name="_Toc10702"/>
      <w:r>
        <w:rPr>
          <w:rFonts w:hint="eastAsia"/>
          <w:b/>
          <w:sz w:val="24"/>
        </w:rPr>
        <w:t>八、签订合同</w:t>
      </w:r>
      <w:bookmarkEnd w:id="56"/>
      <w:bookmarkEnd w:id="57"/>
    </w:p>
    <w:p>
      <w:pPr>
        <w:spacing w:line="276" w:lineRule="auto"/>
        <w:ind w:firstLine="480" w:firstLineChars="200"/>
        <w:rPr>
          <w:rFonts w:hint="eastAsia" w:ascii="宋体" w:hAnsi="宋体"/>
          <w:sz w:val="24"/>
        </w:rPr>
      </w:pPr>
      <w:r>
        <w:rPr>
          <w:rFonts w:hint="eastAsia" w:ascii="宋体" w:hAnsi="宋体"/>
          <w:sz w:val="24"/>
        </w:rPr>
        <w:t>（一）采购人应当自成采购结果公示期结束之日起三十日内，按照磋商文件和成交供应商响应文件的约定，与成交供应商签订书面合同。所签订的合同不得对磋商文件和成交供应商响应文件作实质性修改。</w:t>
      </w:r>
    </w:p>
    <w:p>
      <w:pPr>
        <w:spacing w:line="276" w:lineRule="auto"/>
        <w:ind w:firstLine="480" w:firstLineChars="200"/>
        <w:rPr>
          <w:rFonts w:hint="eastAsia" w:ascii="宋体" w:hAnsi="宋体"/>
          <w:sz w:val="24"/>
        </w:rPr>
      </w:pPr>
      <w:r>
        <w:rPr>
          <w:rFonts w:hint="eastAsia" w:ascii="宋体" w:hAnsi="宋体"/>
          <w:sz w:val="24"/>
        </w:rPr>
        <w:t>（二）磋商文件、成交供应商的响应文件及澄清文件等，均为签订采购合同的依据。</w:t>
      </w:r>
    </w:p>
    <w:p>
      <w:pPr>
        <w:spacing w:line="276" w:lineRule="auto"/>
        <w:ind w:firstLine="480" w:firstLineChars="200"/>
        <w:rPr>
          <w:rFonts w:hint="eastAsia" w:ascii="宋体" w:hAnsi="宋体"/>
          <w:sz w:val="24"/>
        </w:rPr>
      </w:pPr>
      <w:r>
        <w:rPr>
          <w:rFonts w:hint="eastAsia" w:ascii="宋体" w:hAnsi="宋体"/>
          <w:sz w:val="24"/>
        </w:rPr>
        <w:t>（三）合同生效条款由供需双方约定，法律、行政法规规定应当办理批准、登记等手续后生效的合同，依照其规定。</w:t>
      </w:r>
    </w:p>
    <w:p>
      <w:pPr>
        <w:spacing w:line="276" w:lineRule="auto"/>
        <w:ind w:firstLine="480" w:firstLineChars="200"/>
        <w:rPr>
          <w:rFonts w:hint="eastAsia" w:ascii="宋体" w:hAnsi="宋体"/>
          <w:sz w:val="24"/>
        </w:rPr>
      </w:pPr>
      <w:r>
        <w:rPr>
          <w:rFonts w:hint="eastAsia" w:ascii="宋体" w:hAnsi="宋体"/>
          <w:sz w:val="24"/>
        </w:rPr>
        <w:t>（四）合同应按照</w:t>
      </w:r>
      <w:r>
        <w:rPr>
          <w:rFonts w:hint="eastAsia" w:ascii="宋体" w:hAnsi="宋体"/>
          <w:b/>
          <w:bCs/>
          <w:sz w:val="24"/>
        </w:rPr>
        <w:t>本文件第五篇的内容签订、完善，未经采购人同意不得擅自更改</w:t>
      </w:r>
      <w:r>
        <w:rPr>
          <w:rFonts w:hint="eastAsia" w:ascii="宋体" w:hAnsi="宋体"/>
          <w:sz w:val="24"/>
        </w:rPr>
        <w:t>。</w:t>
      </w:r>
    </w:p>
    <w:p>
      <w:pPr>
        <w:spacing w:line="276" w:lineRule="auto"/>
        <w:ind w:firstLine="480" w:firstLineChars="200"/>
        <w:rPr>
          <w:rFonts w:hint="eastAsia" w:ascii="宋体" w:hAnsi="宋体"/>
          <w:sz w:val="24"/>
        </w:rPr>
      </w:pPr>
      <w:r>
        <w:rPr>
          <w:rFonts w:hint="eastAsia" w:ascii="宋体" w:hAnsi="宋体"/>
          <w:sz w:val="24"/>
        </w:rPr>
        <w:t>（五）采购人要求成交供应商提供履约保证金的，应当在磋商文件中予以约定。成交供应商履约完毕后，采购人应于</w:t>
      </w:r>
      <w:r>
        <w:rPr>
          <w:rFonts w:hint="eastAsia" w:ascii="宋体" w:hAnsi="宋体"/>
          <w:b/>
          <w:bCs/>
          <w:sz w:val="24"/>
        </w:rPr>
        <w:t>磋商文件中约定的时间内</w:t>
      </w:r>
      <w:r>
        <w:rPr>
          <w:rFonts w:hint="eastAsia" w:ascii="宋体" w:hAnsi="宋体"/>
          <w:sz w:val="24"/>
        </w:rPr>
        <w:t>无息退还其履约保证金。</w:t>
      </w:r>
    </w:p>
    <w:p>
      <w:pPr>
        <w:spacing w:line="276" w:lineRule="auto"/>
        <w:ind w:right="12" w:firstLine="480"/>
        <w:rPr>
          <w:rFonts w:hint="eastAsia" w:ascii="宋体" w:hAnsi="宋体"/>
          <w:sz w:val="24"/>
        </w:rPr>
      </w:pPr>
    </w:p>
    <w:p>
      <w:pPr>
        <w:pStyle w:val="3"/>
        <w:spacing w:before="0" w:beforeLines="0" w:after="0" w:afterLines="0" w:line="276" w:lineRule="auto"/>
        <w:rPr>
          <w:rFonts w:hint="eastAsia" w:ascii="宋体" w:hAnsi="宋体" w:eastAsia="宋体"/>
        </w:rPr>
      </w:pPr>
      <w:r>
        <w:rPr>
          <w:rFonts w:ascii="宋体" w:hAnsi="宋体" w:eastAsia="宋体"/>
        </w:rPr>
        <w:br w:type="page"/>
      </w:r>
      <w:bookmarkStart w:id="58" w:name="_Toc13712"/>
      <w:r>
        <w:rPr>
          <w:rFonts w:hint="eastAsia" w:ascii="宋体" w:hAnsi="宋体" w:eastAsia="宋体"/>
        </w:rPr>
        <w:t>第五篇  合同</w:t>
      </w:r>
      <w:bookmarkEnd w:id="58"/>
    </w:p>
    <w:p>
      <w:pPr>
        <w:spacing w:line="440" w:lineRule="exact"/>
        <w:rPr>
          <w:rFonts w:hint="eastAsia" w:ascii="宋体" w:hAnsi="宋体"/>
          <w:sz w:val="24"/>
          <w:szCs w:val="24"/>
        </w:rPr>
      </w:pPr>
    </w:p>
    <w:p>
      <w:pPr>
        <w:jc w:val="center"/>
        <w:rPr>
          <w:rFonts w:hint="eastAsia" w:ascii="宋体" w:hAnsi="宋体"/>
          <w:sz w:val="36"/>
          <w:szCs w:val="36"/>
        </w:rPr>
      </w:pPr>
      <w:r>
        <w:rPr>
          <w:rFonts w:hint="eastAsia" w:ascii="宋体" w:hAnsi="宋体"/>
          <w:sz w:val="36"/>
          <w:szCs w:val="36"/>
        </w:rPr>
        <w:t>互联网+慢性肾病管理系统</w:t>
      </w:r>
      <w:r>
        <w:rPr>
          <w:rFonts w:hint="eastAsia" w:ascii="宋体" w:hAnsi="宋体"/>
          <w:sz w:val="36"/>
          <w:szCs w:val="36"/>
          <w:lang w:eastAsia="zh-CN"/>
        </w:rPr>
        <w:t>采购</w:t>
      </w:r>
      <w:r>
        <w:rPr>
          <w:rFonts w:hint="eastAsia" w:ascii="宋体" w:hAnsi="宋体"/>
          <w:sz w:val="36"/>
          <w:szCs w:val="36"/>
        </w:rPr>
        <w:t>合同</w:t>
      </w:r>
    </w:p>
    <w:p>
      <w:pPr>
        <w:jc w:val="center"/>
        <w:rPr>
          <w:rFonts w:hint="eastAsia" w:ascii="宋体" w:hAnsi="宋体"/>
          <w:sz w:val="36"/>
          <w:szCs w:val="36"/>
        </w:rPr>
      </w:pPr>
      <w:r>
        <w:rPr>
          <w:rFonts w:hint="eastAsia" w:ascii="宋体" w:hAnsi="宋体"/>
          <w:sz w:val="36"/>
          <w:szCs w:val="36"/>
        </w:rPr>
        <w:t>（</w:t>
      </w:r>
      <w:r>
        <w:rPr>
          <w:rFonts w:hint="eastAsia" w:ascii="宋体" w:hAnsi="宋体"/>
          <w:sz w:val="24"/>
          <w:szCs w:val="24"/>
        </w:rPr>
        <w:t>政采编号：</w:t>
      </w:r>
      <w:r>
        <w:rPr>
          <w:rFonts w:hint="eastAsia" w:ascii="宋体" w:hAnsi="宋体"/>
          <w:color w:val="FF0000"/>
          <w:sz w:val="24"/>
          <w:szCs w:val="24"/>
        </w:rPr>
        <w:t>2021JYXX-</w:t>
      </w:r>
      <w:r>
        <w:rPr>
          <w:rFonts w:hint="eastAsia" w:ascii="宋体" w:hAnsi="宋体"/>
          <w:color w:val="FF0000"/>
          <w:sz w:val="24"/>
          <w:szCs w:val="24"/>
          <w:lang w:val="en-US" w:eastAsia="zh-CN"/>
        </w:rPr>
        <w:t>40</w:t>
      </w:r>
      <w:r>
        <w:rPr>
          <w:rFonts w:hint="eastAsia" w:ascii="宋体" w:hAnsi="宋体"/>
          <w:sz w:val="36"/>
          <w:szCs w:val="36"/>
        </w:rPr>
        <w:t>）</w:t>
      </w: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r>
        <w:rPr>
          <w:rFonts w:hint="eastAsia" w:ascii="宋体" w:hAnsi="宋体"/>
          <w:sz w:val="24"/>
          <w:szCs w:val="24"/>
        </w:rPr>
        <w:t>甲方：</w:t>
      </w:r>
      <w:r>
        <w:rPr>
          <w:rFonts w:hint="eastAsia" w:ascii="宋体" w:hAnsi="宋体"/>
          <w:sz w:val="24"/>
          <w:szCs w:val="24"/>
          <w:u w:val="single"/>
        </w:rPr>
        <w:t xml:space="preserve">  重庆市第九人民医院  </w:t>
      </w:r>
    </w:p>
    <w:p>
      <w:pPr>
        <w:rPr>
          <w:rFonts w:hint="eastAsia" w:ascii="宋体" w:hAnsi="宋体"/>
          <w:sz w:val="24"/>
          <w:szCs w:val="24"/>
        </w:rPr>
      </w:pPr>
      <w:r>
        <w:rPr>
          <w:rFonts w:hint="eastAsia" w:ascii="宋体" w:hAnsi="宋体"/>
          <w:sz w:val="24"/>
          <w:szCs w:val="24"/>
        </w:rPr>
        <w:t>乙方：</w:t>
      </w:r>
      <w:r>
        <w:rPr>
          <w:rFonts w:hint="eastAsia" w:ascii="宋体" w:hAnsi="宋体"/>
          <w:sz w:val="24"/>
          <w:szCs w:val="24"/>
          <w:u w:val="single"/>
        </w:rPr>
        <w:t xml:space="preserve">                      </w:t>
      </w:r>
    </w:p>
    <w:p>
      <w:pPr>
        <w:rPr>
          <w:rFonts w:ascii="宋体" w:hAnsi="宋体"/>
          <w:sz w:val="24"/>
          <w:szCs w:val="24"/>
        </w:rPr>
      </w:pPr>
    </w:p>
    <w:p>
      <w:pPr>
        <w:ind w:firstLine="690"/>
        <w:rPr>
          <w:rFonts w:ascii="宋体" w:hAnsi="宋体"/>
          <w:sz w:val="24"/>
          <w:szCs w:val="24"/>
        </w:rPr>
      </w:pPr>
      <w:r>
        <w:rPr>
          <w:rFonts w:hint="eastAsia" w:ascii="宋体" w:hAnsi="宋体"/>
          <w:sz w:val="24"/>
          <w:szCs w:val="24"/>
        </w:rPr>
        <w:t>根据《中华人民共和国合同法》和《中华人民共和国政府采购法》等有关规定。为保证所购的服务质量，明确双方的权利义务，甲乙双方在平等、自愿、协商一致的基础上，就有关事宜达成如下协议：</w:t>
      </w:r>
    </w:p>
    <w:p>
      <w:pPr>
        <w:spacing w:before="120" w:beforeLines="50"/>
        <w:rPr>
          <w:rFonts w:ascii="宋体" w:hAnsi="宋体"/>
          <w:b/>
          <w:sz w:val="24"/>
          <w:szCs w:val="24"/>
        </w:rPr>
      </w:pPr>
      <w:r>
        <w:rPr>
          <w:rFonts w:hint="eastAsia" w:ascii="宋体" w:hAnsi="宋体"/>
          <w:b/>
          <w:sz w:val="24"/>
          <w:szCs w:val="24"/>
        </w:rPr>
        <w:t>第一条：合同范围</w:t>
      </w:r>
    </w:p>
    <w:p>
      <w:pPr>
        <w:spacing w:line="400" w:lineRule="exact"/>
        <w:ind w:firstLine="480" w:firstLineChars="200"/>
        <w:rPr>
          <w:rFonts w:hint="default" w:ascii="宋体" w:hAnsi="宋体" w:eastAsia="宋体" w:cs="方正仿宋_GBK"/>
          <w:sz w:val="24"/>
          <w:szCs w:val="24"/>
          <w:lang w:val="en-US" w:eastAsia="zh-CN"/>
        </w:rPr>
      </w:pPr>
      <w:r>
        <w:rPr>
          <w:rFonts w:hint="eastAsia" w:ascii="宋体" w:hAnsi="宋体" w:cs="方正仿宋_GBK"/>
          <w:sz w:val="24"/>
          <w:szCs w:val="24"/>
        </w:rPr>
        <w:t>1、项目名称：</w:t>
      </w:r>
      <w:r>
        <w:rPr>
          <w:rFonts w:hint="eastAsia" w:ascii="宋体" w:hAnsi="宋体" w:cs="方正仿宋_GBK"/>
          <w:color w:val="FF0000"/>
          <w:sz w:val="24"/>
          <w:szCs w:val="24"/>
          <w:lang w:val="en-US" w:eastAsia="zh-CN"/>
        </w:rPr>
        <w:t>互联网+慢性肾脏病管理系统</w:t>
      </w:r>
    </w:p>
    <w:p>
      <w:pPr>
        <w:spacing w:line="400" w:lineRule="exact"/>
        <w:ind w:firstLine="480" w:firstLineChars="200"/>
        <w:rPr>
          <w:rFonts w:ascii="宋体" w:hAnsi="宋体" w:cs="方正仿宋_GBK"/>
          <w:sz w:val="24"/>
          <w:szCs w:val="24"/>
        </w:rPr>
      </w:pPr>
      <w:r>
        <w:rPr>
          <w:rFonts w:hint="eastAsia" w:ascii="宋体" w:hAnsi="宋体" w:cs="方正仿宋_GBK"/>
          <w:sz w:val="24"/>
          <w:szCs w:val="24"/>
        </w:rPr>
        <w:t>2、项目范围或内容：见合同附件</w:t>
      </w:r>
    </w:p>
    <w:p>
      <w:pPr>
        <w:spacing w:before="120" w:beforeLines="50"/>
        <w:rPr>
          <w:rFonts w:ascii="宋体" w:hAnsi="宋体"/>
          <w:b/>
          <w:sz w:val="24"/>
          <w:szCs w:val="24"/>
        </w:rPr>
      </w:pPr>
      <w:r>
        <w:rPr>
          <w:rFonts w:hint="eastAsia" w:ascii="宋体" w:hAnsi="宋体"/>
          <w:b/>
          <w:sz w:val="24"/>
          <w:szCs w:val="24"/>
        </w:rPr>
        <w:t>第二条：</w:t>
      </w:r>
      <w:r>
        <w:rPr>
          <w:rFonts w:hint="eastAsia" w:ascii="宋体" w:hAnsi="宋体" w:cs="仿宋"/>
          <w:b/>
          <w:sz w:val="24"/>
        </w:rPr>
        <w:t>合同金额及付款方式</w:t>
      </w:r>
    </w:p>
    <w:p>
      <w:pPr>
        <w:ind w:firstLine="480" w:firstLineChars="200"/>
        <w:rPr>
          <w:rFonts w:hint="eastAsia" w:ascii="宋体" w:hAnsi="宋体" w:cs="仿宋"/>
          <w:sz w:val="24"/>
        </w:rPr>
      </w:pPr>
      <w:r>
        <w:rPr>
          <w:rFonts w:hint="eastAsia" w:ascii="宋体" w:hAnsi="宋体"/>
          <w:sz w:val="24"/>
          <w:szCs w:val="24"/>
        </w:rPr>
        <w:t>1、</w:t>
      </w:r>
      <w:r>
        <w:rPr>
          <w:rFonts w:hint="eastAsia" w:ascii="宋体" w:hAnsi="宋体" w:cs="仿宋"/>
          <w:sz w:val="24"/>
        </w:rPr>
        <w:t>合同金额：</w:t>
      </w:r>
      <w:r>
        <w:rPr>
          <w:rFonts w:hint="eastAsia" w:ascii="宋体" w:hAnsi="宋体" w:cs="仿宋"/>
          <w:sz w:val="24"/>
          <w:u w:val="single"/>
        </w:rPr>
        <w:t xml:space="preserve">          </w:t>
      </w:r>
      <w:r>
        <w:rPr>
          <w:rFonts w:hint="eastAsia" w:ascii="宋体" w:hAnsi="宋体" w:cs="仿宋"/>
          <w:sz w:val="24"/>
        </w:rPr>
        <w:t>元，大写：</w:t>
      </w:r>
      <w:r>
        <w:rPr>
          <w:rFonts w:hint="eastAsia" w:ascii="宋体" w:hAnsi="宋体" w:cs="仿宋"/>
          <w:sz w:val="24"/>
          <w:u w:val="single"/>
        </w:rPr>
        <w:t xml:space="preserve">                    </w:t>
      </w:r>
    </w:p>
    <w:p>
      <w:pPr>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签订合同前，</w:t>
      </w:r>
      <w:r>
        <w:rPr>
          <w:rFonts w:hint="eastAsia" w:ascii="宋体" w:hAnsi="宋体"/>
          <w:sz w:val="24"/>
          <w:szCs w:val="24"/>
        </w:rPr>
        <w:t>乙方</w:t>
      </w:r>
      <w:r>
        <w:rPr>
          <w:rFonts w:ascii="宋体" w:hAnsi="宋体"/>
          <w:sz w:val="24"/>
          <w:szCs w:val="24"/>
        </w:rPr>
        <w:t>向甲方合同中约定账户转账支付中标金额的10%作为履约保证金</w:t>
      </w:r>
      <w:r>
        <w:rPr>
          <w:rFonts w:hint="eastAsia" w:ascii="宋体" w:hAnsi="宋体"/>
          <w:sz w:val="24"/>
          <w:szCs w:val="24"/>
        </w:rPr>
        <w:t>，履约完毕且无待处理问题后15个工作日内甲方一次性无息退还。</w:t>
      </w:r>
    </w:p>
    <w:p>
      <w:pPr>
        <w:ind w:firstLine="480" w:firstLineChars="200"/>
        <w:rPr>
          <w:rFonts w:hint="eastAsia" w:ascii="宋体" w:hAnsi="宋体"/>
          <w:sz w:val="24"/>
          <w:szCs w:val="24"/>
        </w:rPr>
      </w:pPr>
      <w:r>
        <w:rPr>
          <w:rFonts w:hint="eastAsia" w:ascii="宋体" w:hAnsi="宋体"/>
          <w:sz w:val="24"/>
          <w:szCs w:val="24"/>
        </w:rPr>
        <w:t>3、项目验收合格后30个工作日内，甲方凭发票、合同、验收报告以转账方式向乙方支付合同全款。</w:t>
      </w:r>
    </w:p>
    <w:p>
      <w:pPr>
        <w:spacing w:before="120" w:beforeLines="50"/>
        <w:rPr>
          <w:rFonts w:ascii="宋体" w:hAnsi="宋体"/>
          <w:b/>
          <w:sz w:val="24"/>
          <w:szCs w:val="24"/>
        </w:rPr>
      </w:pPr>
      <w:r>
        <w:rPr>
          <w:rFonts w:hint="eastAsia" w:ascii="宋体" w:hAnsi="宋体" w:cs="仿宋"/>
          <w:b/>
          <w:sz w:val="24"/>
        </w:rPr>
        <w:t>第三条：</w:t>
      </w:r>
      <w:r>
        <w:rPr>
          <w:rFonts w:hint="eastAsia" w:ascii="宋体" w:hAnsi="宋体"/>
          <w:b/>
          <w:sz w:val="24"/>
          <w:szCs w:val="24"/>
        </w:rPr>
        <w:t>服务项目及要求</w:t>
      </w:r>
    </w:p>
    <w:p>
      <w:pPr>
        <w:snapToGrid w:val="0"/>
        <w:spacing w:line="400" w:lineRule="exact"/>
        <w:ind w:firstLine="480" w:firstLineChars="200"/>
        <w:rPr>
          <w:rFonts w:ascii="宋体" w:hAnsi="宋体" w:cs="PMingLiU"/>
          <w:kern w:val="0"/>
          <w:sz w:val="24"/>
          <w:szCs w:val="24"/>
        </w:rPr>
      </w:pPr>
      <w:r>
        <w:rPr>
          <w:rFonts w:hint="eastAsia" w:ascii="宋体" w:hAnsi="宋体" w:cs="PMingLiU"/>
          <w:kern w:val="0"/>
          <w:sz w:val="24"/>
          <w:szCs w:val="24"/>
        </w:rPr>
        <w:t>1、交付期（工期）：</w:t>
      </w:r>
      <w:r>
        <w:rPr>
          <w:rFonts w:hint="eastAsia" w:ascii="宋体" w:hAnsi="宋体" w:cs="方正仿宋_GBK"/>
          <w:kern w:val="0"/>
          <w:sz w:val="24"/>
          <w:szCs w:val="28"/>
        </w:rPr>
        <w:t>从签订合同之日起</w:t>
      </w:r>
      <w:r>
        <w:rPr>
          <w:rFonts w:hint="eastAsia" w:ascii="宋体" w:hAnsi="宋体" w:cs="方正仿宋_GBK"/>
          <w:kern w:val="0"/>
          <w:sz w:val="24"/>
          <w:szCs w:val="28"/>
          <w:u w:val="single"/>
        </w:rPr>
        <w:t xml:space="preserve">    </w:t>
      </w:r>
      <w:r>
        <w:rPr>
          <w:rFonts w:hint="eastAsia" w:ascii="宋体" w:hAnsi="宋体" w:cs="方正仿宋_GBK"/>
          <w:kern w:val="0"/>
          <w:sz w:val="24"/>
          <w:szCs w:val="28"/>
        </w:rPr>
        <w:t>日内交付正常使用。</w:t>
      </w:r>
    </w:p>
    <w:p>
      <w:pPr>
        <w:snapToGrid w:val="0"/>
        <w:spacing w:line="400" w:lineRule="exact"/>
        <w:ind w:firstLine="480" w:firstLineChars="200"/>
        <w:rPr>
          <w:rFonts w:ascii="宋体" w:hAnsi="宋体" w:cs="PMingLiU"/>
          <w:kern w:val="0"/>
          <w:sz w:val="24"/>
          <w:szCs w:val="24"/>
        </w:rPr>
      </w:pPr>
      <w:r>
        <w:rPr>
          <w:rFonts w:hint="eastAsia" w:ascii="宋体" w:hAnsi="宋体" w:cs="PMingLiU"/>
          <w:kern w:val="0"/>
          <w:sz w:val="24"/>
          <w:szCs w:val="24"/>
        </w:rPr>
        <w:t>2、交付地点：甲方指定地点</w:t>
      </w:r>
    </w:p>
    <w:p>
      <w:pPr>
        <w:spacing w:line="400" w:lineRule="exact"/>
        <w:ind w:firstLine="480" w:firstLineChars="200"/>
        <w:rPr>
          <w:rFonts w:ascii="宋体" w:hAnsi="宋体" w:cs="方正仿宋_GBK"/>
          <w:sz w:val="24"/>
          <w:szCs w:val="24"/>
        </w:rPr>
      </w:pPr>
      <w:r>
        <w:rPr>
          <w:rFonts w:hint="eastAsia" w:ascii="宋体" w:hAnsi="宋体" w:cs="方正仿宋_GBK"/>
          <w:sz w:val="24"/>
          <w:szCs w:val="24"/>
        </w:rPr>
        <w:t>4、产品质量保证期：</w:t>
      </w:r>
      <w:r>
        <w:rPr>
          <w:rFonts w:hint="eastAsia" w:ascii="宋体" w:hAnsi="宋体" w:cs="方正仿宋_GBK"/>
          <w:sz w:val="24"/>
          <w:szCs w:val="24"/>
          <w:u w:val="single"/>
        </w:rPr>
        <w:t xml:space="preserve">    年</w:t>
      </w:r>
      <w:r>
        <w:rPr>
          <w:rFonts w:hint="eastAsia" w:ascii="宋体" w:hAnsi="宋体" w:cs="方正仿宋_GBK"/>
          <w:sz w:val="24"/>
          <w:szCs w:val="24"/>
        </w:rPr>
        <w:t>，从项目验收合格之日算起。</w:t>
      </w:r>
    </w:p>
    <w:p>
      <w:pPr>
        <w:spacing w:before="120" w:beforeLines="50"/>
        <w:rPr>
          <w:rFonts w:ascii="宋体" w:hAnsi="宋体"/>
          <w:b/>
          <w:sz w:val="24"/>
          <w:szCs w:val="24"/>
        </w:rPr>
      </w:pPr>
      <w:r>
        <w:rPr>
          <w:rFonts w:hint="eastAsia" w:ascii="宋体" w:hAnsi="宋体"/>
          <w:b/>
          <w:sz w:val="24"/>
          <w:szCs w:val="24"/>
        </w:rPr>
        <w:t>第五条：合同期限与终止</w:t>
      </w:r>
    </w:p>
    <w:p>
      <w:pPr>
        <w:ind w:firstLine="480" w:firstLineChars="200"/>
        <w:rPr>
          <w:rFonts w:ascii="宋体" w:hAnsi="宋体" w:cs="方正仿宋_GBK"/>
          <w:sz w:val="24"/>
          <w:szCs w:val="24"/>
        </w:rPr>
      </w:pPr>
      <w:r>
        <w:rPr>
          <w:rFonts w:hint="eastAsia" w:ascii="宋体" w:hAnsi="宋体" w:cs="方正仿宋_GBK"/>
          <w:sz w:val="24"/>
          <w:szCs w:val="24"/>
        </w:rPr>
        <w:t>1、合同期限：从本合同生效之日起，直至质量保证期满且无争议或纠纷时止。</w:t>
      </w:r>
    </w:p>
    <w:p>
      <w:pPr>
        <w:ind w:firstLine="480" w:firstLineChars="200"/>
        <w:rPr>
          <w:rFonts w:ascii="宋体" w:hAnsi="宋体" w:cs="方正仿宋_GBK"/>
          <w:sz w:val="24"/>
          <w:szCs w:val="24"/>
        </w:rPr>
      </w:pPr>
      <w:r>
        <w:rPr>
          <w:rFonts w:hint="eastAsia" w:ascii="宋体" w:hAnsi="宋体" w:cs="方正仿宋_GBK"/>
          <w:sz w:val="24"/>
          <w:szCs w:val="24"/>
        </w:rPr>
        <w:t>2、合同的终止</w:t>
      </w:r>
    </w:p>
    <w:p>
      <w:pPr>
        <w:ind w:firstLine="480" w:firstLineChars="200"/>
        <w:rPr>
          <w:rFonts w:ascii="宋体" w:hAnsi="宋体" w:cs="方正仿宋_GBK"/>
          <w:sz w:val="24"/>
          <w:szCs w:val="24"/>
        </w:rPr>
      </w:pPr>
      <w:r>
        <w:rPr>
          <w:rFonts w:hint="eastAsia" w:ascii="宋体" w:hAnsi="宋体" w:cs="方正仿宋_GBK"/>
          <w:sz w:val="24"/>
          <w:szCs w:val="24"/>
        </w:rPr>
        <w:t>（1）合同期满，双方未续签的；</w:t>
      </w:r>
    </w:p>
    <w:p>
      <w:pPr>
        <w:ind w:firstLine="480" w:firstLineChars="200"/>
        <w:rPr>
          <w:rFonts w:ascii="宋体" w:hAnsi="宋体" w:cs="方正仿宋_GBK"/>
          <w:sz w:val="24"/>
          <w:szCs w:val="24"/>
        </w:rPr>
      </w:pPr>
      <w:r>
        <w:rPr>
          <w:rFonts w:hint="eastAsia" w:ascii="宋体" w:hAnsi="宋体" w:cs="方正仿宋_GBK"/>
          <w:sz w:val="24"/>
          <w:szCs w:val="24"/>
        </w:rPr>
        <w:t>（2）乙方服务能力丧失，致使服务无法正常进行的；</w:t>
      </w:r>
    </w:p>
    <w:p>
      <w:pPr>
        <w:ind w:firstLine="480" w:firstLineChars="200"/>
        <w:rPr>
          <w:rFonts w:ascii="宋体" w:hAnsi="宋体"/>
          <w:b/>
          <w:bCs/>
          <w:sz w:val="24"/>
          <w:szCs w:val="24"/>
        </w:rPr>
      </w:pPr>
      <w:r>
        <w:rPr>
          <w:rFonts w:hint="eastAsia" w:ascii="宋体" w:hAnsi="宋体" w:cs="方正仿宋_GBK"/>
          <w:sz w:val="24"/>
          <w:szCs w:val="24"/>
        </w:rPr>
        <w:t>（3）在履行合同过程中，乙方未按甲方要求或合同约定提供服务，可能造成项目延迟交付或验收，甲方有权立即终止合同，并按本合同第八条处理。</w:t>
      </w:r>
      <w:r>
        <w:rPr>
          <w:rFonts w:hint="eastAsia" w:ascii="宋体" w:hAnsi="宋体"/>
          <w:b/>
          <w:bCs/>
          <w:sz w:val="24"/>
          <w:szCs w:val="24"/>
        </w:rPr>
        <w:t xml:space="preserve"> </w:t>
      </w:r>
    </w:p>
    <w:p>
      <w:pPr>
        <w:spacing w:before="120" w:beforeLines="50"/>
        <w:rPr>
          <w:rFonts w:ascii="宋体" w:hAnsi="宋体"/>
          <w:b/>
          <w:sz w:val="24"/>
          <w:szCs w:val="24"/>
        </w:rPr>
      </w:pPr>
      <w:r>
        <w:rPr>
          <w:rFonts w:hint="eastAsia" w:ascii="宋体" w:hAnsi="宋体"/>
          <w:b/>
          <w:sz w:val="24"/>
          <w:szCs w:val="24"/>
        </w:rPr>
        <w:t>第六条：项目考核验收</w:t>
      </w:r>
    </w:p>
    <w:p>
      <w:pPr>
        <w:snapToGrid w:val="0"/>
        <w:spacing w:line="276" w:lineRule="auto"/>
        <w:ind w:firstLine="480" w:firstLineChars="200"/>
        <w:rPr>
          <w:rFonts w:ascii="宋体" w:hAnsi="宋体" w:cs="方正仿宋_GBK"/>
          <w:kern w:val="0"/>
          <w:sz w:val="24"/>
          <w:szCs w:val="28"/>
        </w:rPr>
      </w:pPr>
      <w:r>
        <w:rPr>
          <w:rFonts w:hint="eastAsia" w:ascii="宋体" w:hAnsi="宋体" w:cs="方正仿宋_GBK"/>
          <w:kern w:val="0"/>
          <w:sz w:val="24"/>
          <w:szCs w:val="28"/>
        </w:rPr>
        <w:t>1、由甲方组织验收。</w:t>
      </w:r>
    </w:p>
    <w:p>
      <w:pPr>
        <w:ind w:firstLine="480" w:firstLineChars="200"/>
        <w:rPr>
          <w:rFonts w:hint="eastAsia" w:ascii="宋体" w:hAnsi="宋体"/>
          <w:sz w:val="24"/>
          <w:szCs w:val="24"/>
        </w:rPr>
      </w:pPr>
      <w:r>
        <w:rPr>
          <w:rFonts w:hint="eastAsia" w:ascii="宋体" w:hAnsi="宋体"/>
          <w:sz w:val="24"/>
          <w:szCs w:val="24"/>
        </w:rPr>
        <w:t>2、验收标准：招投标文件、医疗行业规范标准或惯例、医疗行业从业人员常用习惯、合同约定等。</w:t>
      </w:r>
    </w:p>
    <w:p>
      <w:pPr>
        <w:ind w:firstLine="480" w:firstLineChars="200"/>
        <w:rPr>
          <w:rFonts w:hint="eastAsia" w:ascii="宋体" w:hAnsi="宋体"/>
          <w:sz w:val="24"/>
          <w:szCs w:val="24"/>
        </w:rPr>
      </w:pPr>
      <w:r>
        <w:rPr>
          <w:rFonts w:hint="eastAsia" w:ascii="宋体" w:hAnsi="宋体"/>
          <w:sz w:val="24"/>
          <w:szCs w:val="24"/>
        </w:rPr>
        <w:t>3、验收：项目试用效果良好，达到验收条件，乙方向甲方申请验收；经验收合格，甲方出具项目验收报告，验收合格报告作为付款必备条件和质保期起算的依据。</w:t>
      </w:r>
    </w:p>
    <w:p>
      <w:pPr>
        <w:ind w:firstLine="480" w:firstLineChars="200"/>
        <w:rPr>
          <w:rFonts w:hint="eastAsia" w:ascii="宋体" w:hAnsi="宋体"/>
          <w:sz w:val="24"/>
          <w:szCs w:val="24"/>
        </w:rPr>
      </w:pPr>
      <w:r>
        <w:rPr>
          <w:rFonts w:hint="eastAsia" w:ascii="宋体" w:hAnsi="宋体"/>
          <w:sz w:val="24"/>
          <w:szCs w:val="24"/>
        </w:rPr>
        <w:t>4、在合同约定工期内未达到验收合格，按本合同第八条处理。</w:t>
      </w:r>
    </w:p>
    <w:p>
      <w:pPr>
        <w:spacing w:before="120" w:beforeLines="50"/>
        <w:rPr>
          <w:rFonts w:ascii="宋体" w:hAnsi="宋体"/>
          <w:b/>
          <w:sz w:val="24"/>
          <w:szCs w:val="24"/>
        </w:rPr>
      </w:pPr>
      <w:r>
        <w:rPr>
          <w:rFonts w:hint="eastAsia" w:ascii="宋体" w:hAnsi="宋体"/>
          <w:b/>
          <w:sz w:val="24"/>
          <w:szCs w:val="24"/>
        </w:rPr>
        <w:t>第七条：双方权利和义务</w:t>
      </w:r>
    </w:p>
    <w:p>
      <w:pPr>
        <w:ind w:firstLine="480" w:firstLineChars="200"/>
        <w:rPr>
          <w:rFonts w:ascii="宋体" w:hAnsi="宋体"/>
          <w:sz w:val="24"/>
          <w:szCs w:val="24"/>
        </w:rPr>
      </w:pPr>
      <w:r>
        <w:rPr>
          <w:rFonts w:hint="eastAsia" w:ascii="宋体" w:hAnsi="宋体"/>
          <w:sz w:val="24"/>
          <w:szCs w:val="24"/>
        </w:rPr>
        <w:t>（一）甲方权利、义务</w:t>
      </w:r>
    </w:p>
    <w:p>
      <w:pPr>
        <w:ind w:firstLine="480" w:firstLineChars="200"/>
        <w:rPr>
          <w:rFonts w:ascii="宋体" w:hAnsi="宋体"/>
          <w:sz w:val="24"/>
          <w:szCs w:val="24"/>
        </w:rPr>
      </w:pPr>
      <w:r>
        <w:rPr>
          <w:rFonts w:hint="eastAsia" w:ascii="宋体" w:hAnsi="宋体"/>
          <w:sz w:val="24"/>
          <w:szCs w:val="24"/>
        </w:rPr>
        <w:t>1、甲方有权对项目进行全程跟踪和监督，并对乙方进行的服务进行考核。</w:t>
      </w:r>
    </w:p>
    <w:p>
      <w:pPr>
        <w:ind w:firstLine="480" w:firstLineChars="200"/>
        <w:rPr>
          <w:rFonts w:hint="eastAsia" w:ascii="宋体" w:hAnsi="宋体"/>
          <w:sz w:val="24"/>
          <w:szCs w:val="24"/>
        </w:rPr>
      </w:pPr>
      <w:r>
        <w:rPr>
          <w:rFonts w:hint="eastAsia" w:ascii="宋体" w:hAnsi="宋体"/>
          <w:sz w:val="24"/>
          <w:szCs w:val="24"/>
        </w:rPr>
        <w:t>2、协调乙方在提供服务过程相关的政府部门和单位。</w:t>
      </w:r>
    </w:p>
    <w:p>
      <w:pPr>
        <w:ind w:firstLine="480" w:firstLineChars="200"/>
        <w:rPr>
          <w:rFonts w:ascii="宋体" w:hAnsi="宋体"/>
          <w:sz w:val="24"/>
          <w:szCs w:val="24"/>
        </w:rPr>
      </w:pPr>
      <w:r>
        <w:rPr>
          <w:rFonts w:hint="eastAsia" w:ascii="宋体" w:hAnsi="宋体"/>
          <w:sz w:val="24"/>
          <w:szCs w:val="24"/>
        </w:rPr>
        <w:t>3、一旦发现本项目可能延期交互或难以通过项目验收，有权立即终止合同，更换中标人、另行签订合同，以满足本项目的按期验收合格。</w:t>
      </w:r>
    </w:p>
    <w:p>
      <w:pPr>
        <w:ind w:firstLine="480" w:firstLineChars="200"/>
        <w:rPr>
          <w:rFonts w:ascii="宋体" w:hAnsi="宋体"/>
          <w:sz w:val="24"/>
          <w:szCs w:val="24"/>
        </w:rPr>
      </w:pPr>
      <w:r>
        <w:rPr>
          <w:rFonts w:hint="eastAsia" w:ascii="宋体" w:hAnsi="宋体"/>
          <w:sz w:val="24"/>
          <w:szCs w:val="24"/>
        </w:rPr>
        <w:t>（二）乙方权利、义务</w:t>
      </w:r>
    </w:p>
    <w:p>
      <w:pPr>
        <w:ind w:firstLine="480" w:firstLineChars="200"/>
        <w:rPr>
          <w:rFonts w:ascii="宋体" w:hAnsi="宋体"/>
          <w:sz w:val="24"/>
          <w:szCs w:val="24"/>
        </w:rPr>
      </w:pPr>
      <w:r>
        <w:rPr>
          <w:rFonts w:hint="eastAsia" w:ascii="宋体" w:hAnsi="宋体"/>
          <w:sz w:val="24"/>
          <w:szCs w:val="24"/>
        </w:rPr>
        <w:t>1、乙方可要求甲方按本合同规定按时足额付款。</w:t>
      </w:r>
    </w:p>
    <w:p>
      <w:pPr>
        <w:ind w:firstLine="480" w:firstLineChars="200"/>
        <w:rPr>
          <w:rFonts w:ascii="宋体" w:hAnsi="宋体"/>
          <w:sz w:val="24"/>
          <w:szCs w:val="24"/>
        </w:rPr>
      </w:pPr>
      <w:r>
        <w:rPr>
          <w:rFonts w:hint="eastAsia" w:ascii="宋体" w:hAnsi="宋体"/>
          <w:sz w:val="24"/>
          <w:szCs w:val="24"/>
        </w:rPr>
        <w:t>2、乙方不得将服务项目委托给第三人；在履行合同过程中，必须接受甲方监督，满足质量、工期和保证合格验收要求。当可能延期交付或难以保证结果时，应同意甲方立即更换中标人。</w:t>
      </w:r>
    </w:p>
    <w:p>
      <w:pPr>
        <w:spacing w:before="120" w:beforeLines="50"/>
        <w:rPr>
          <w:rFonts w:hint="eastAsia" w:ascii="宋体" w:hAnsi="宋体"/>
          <w:b/>
          <w:sz w:val="24"/>
          <w:szCs w:val="24"/>
        </w:rPr>
      </w:pPr>
      <w:r>
        <w:rPr>
          <w:rFonts w:hint="eastAsia" w:ascii="宋体" w:hAnsi="宋体"/>
          <w:b/>
          <w:sz w:val="24"/>
          <w:szCs w:val="24"/>
        </w:rPr>
        <w:t>第八条：争议及违约处理</w:t>
      </w:r>
    </w:p>
    <w:p>
      <w:pPr>
        <w:ind w:firstLine="480" w:firstLineChars="200"/>
        <w:rPr>
          <w:rFonts w:ascii="宋体" w:hAnsi="宋体"/>
          <w:sz w:val="24"/>
          <w:szCs w:val="24"/>
        </w:rPr>
      </w:pPr>
      <w:r>
        <w:rPr>
          <w:rFonts w:hint="eastAsia" w:ascii="宋体" w:hAnsi="宋体"/>
          <w:sz w:val="24"/>
          <w:szCs w:val="24"/>
        </w:rPr>
        <w:t>本合同在签订或履行过程中发生争议，由甲乙双方协商解决，协商不成的，先按以下方式处理，待甲方针对本项目正式验收合格后，再另行向甲方所在地人民法院提起诉讼。</w:t>
      </w:r>
    </w:p>
    <w:p>
      <w:pPr>
        <w:ind w:firstLine="480" w:firstLineChars="200"/>
        <w:rPr>
          <w:rFonts w:hint="eastAsia" w:ascii="宋体" w:hAnsi="宋体"/>
          <w:sz w:val="24"/>
          <w:szCs w:val="24"/>
        </w:rPr>
      </w:pPr>
      <w:r>
        <w:rPr>
          <w:rFonts w:hint="eastAsia" w:ascii="宋体" w:hAnsi="宋体"/>
          <w:sz w:val="24"/>
          <w:szCs w:val="24"/>
        </w:rPr>
        <w:t>1、未能签订合同或在交付期内未能通过正式验收，甲方不退还履约保证金，且乙方按甲方</w:t>
      </w:r>
      <w:r>
        <w:rPr>
          <w:rFonts w:ascii="宋体" w:hAnsi="宋体"/>
          <w:sz w:val="24"/>
          <w:szCs w:val="24"/>
        </w:rPr>
        <w:t>损失</w:t>
      </w:r>
      <w:r>
        <w:rPr>
          <w:rFonts w:hint="eastAsia" w:ascii="宋体" w:hAnsi="宋体"/>
          <w:sz w:val="24"/>
          <w:szCs w:val="24"/>
        </w:rPr>
        <w:t>的</w:t>
      </w:r>
      <w:r>
        <w:rPr>
          <w:rFonts w:ascii="宋体" w:hAnsi="宋体"/>
          <w:sz w:val="24"/>
          <w:szCs w:val="24"/>
        </w:rPr>
        <w:t>13</w:t>
      </w:r>
      <w:r>
        <w:rPr>
          <w:rFonts w:hint="eastAsia" w:ascii="宋体" w:hAnsi="宋体"/>
          <w:sz w:val="24"/>
          <w:szCs w:val="24"/>
        </w:rPr>
        <w:t>0%向甲方支付违</w:t>
      </w:r>
      <w:r>
        <w:rPr>
          <w:rFonts w:ascii="宋体" w:hAnsi="宋体"/>
          <w:sz w:val="24"/>
          <w:szCs w:val="24"/>
        </w:rPr>
        <w:t>约金</w:t>
      </w:r>
      <w:r>
        <w:rPr>
          <w:rFonts w:hint="eastAsia" w:ascii="宋体" w:hAnsi="宋体"/>
          <w:sz w:val="24"/>
          <w:szCs w:val="24"/>
        </w:rPr>
        <w:t>。</w:t>
      </w:r>
    </w:p>
    <w:p>
      <w:pPr>
        <w:ind w:firstLine="480" w:firstLineChars="200"/>
        <w:rPr>
          <w:rFonts w:hint="eastAsia" w:ascii="宋体" w:hAnsi="宋体"/>
          <w:sz w:val="24"/>
          <w:szCs w:val="24"/>
        </w:rPr>
      </w:pPr>
      <w:r>
        <w:rPr>
          <w:rFonts w:hint="eastAsia" w:ascii="宋体" w:hAnsi="宋体"/>
          <w:sz w:val="24"/>
          <w:szCs w:val="24"/>
        </w:rPr>
        <w:t>2、交付使用后的售后服务期间，因违约或重大过失给甲方造成对方经济损失的，乙方应按甲方</w:t>
      </w:r>
      <w:r>
        <w:rPr>
          <w:rFonts w:ascii="宋体" w:hAnsi="宋体"/>
          <w:sz w:val="24"/>
          <w:szCs w:val="24"/>
        </w:rPr>
        <w:t>损失</w:t>
      </w:r>
      <w:r>
        <w:rPr>
          <w:rFonts w:hint="eastAsia" w:ascii="宋体" w:hAnsi="宋体"/>
          <w:sz w:val="24"/>
          <w:szCs w:val="24"/>
        </w:rPr>
        <w:t>的</w:t>
      </w:r>
      <w:r>
        <w:rPr>
          <w:rFonts w:ascii="宋体" w:hAnsi="宋体"/>
          <w:sz w:val="24"/>
          <w:szCs w:val="24"/>
        </w:rPr>
        <w:t>13</w:t>
      </w:r>
      <w:r>
        <w:rPr>
          <w:rFonts w:hint="eastAsia" w:ascii="宋体" w:hAnsi="宋体"/>
          <w:sz w:val="24"/>
          <w:szCs w:val="24"/>
        </w:rPr>
        <w:t>0%向甲方进行赔偿。</w:t>
      </w:r>
    </w:p>
    <w:p>
      <w:pPr>
        <w:ind w:firstLine="480" w:firstLineChars="200"/>
        <w:rPr>
          <w:rFonts w:ascii="宋体" w:hAnsi="宋体"/>
          <w:sz w:val="24"/>
          <w:szCs w:val="24"/>
        </w:rPr>
      </w:pPr>
      <w:r>
        <w:rPr>
          <w:rFonts w:hint="eastAsia" w:ascii="宋体" w:hAnsi="宋体"/>
          <w:sz w:val="24"/>
          <w:szCs w:val="24"/>
        </w:rPr>
        <w:t>3、本项目若存在未能按期签订合同、未按期交付使用或未能按期通过正式验收三种情形之一者，甲方应将乙方上报北碚区财政局纳入不诚信供应商黑名单；同时，为满足甲方项目工期及验收要求，甲方有权立即申请更换中标人或立即终止合同。</w:t>
      </w:r>
    </w:p>
    <w:p>
      <w:pPr>
        <w:spacing w:before="120" w:beforeLines="50"/>
        <w:rPr>
          <w:rFonts w:hint="eastAsia" w:ascii="宋体" w:hAnsi="宋体"/>
          <w:b/>
          <w:sz w:val="24"/>
          <w:szCs w:val="24"/>
        </w:rPr>
      </w:pPr>
      <w:r>
        <w:rPr>
          <w:rFonts w:hint="eastAsia" w:ascii="宋体" w:hAnsi="宋体"/>
          <w:b/>
          <w:sz w:val="24"/>
          <w:szCs w:val="24"/>
        </w:rPr>
        <w:t>第九条：其它</w:t>
      </w:r>
    </w:p>
    <w:p>
      <w:pPr>
        <w:ind w:firstLine="480" w:firstLineChars="200"/>
        <w:rPr>
          <w:rFonts w:ascii="宋体" w:hAnsi="宋体"/>
          <w:sz w:val="24"/>
          <w:szCs w:val="24"/>
        </w:rPr>
      </w:pPr>
      <w:r>
        <w:rPr>
          <w:rFonts w:hint="eastAsia" w:ascii="宋体" w:hAnsi="宋体"/>
          <w:sz w:val="24"/>
          <w:szCs w:val="24"/>
        </w:rPr>
        <w:t>1、招标文件及其补遗文件、投标文件及承诺是本合同不可分割的部分。</w:t>
      </w:r>
    </w:p>
    <w:p>
      <w:pPr>
        <w:ind w:firstLine="480" w:firstLineChars="200"/>
        <w:rPr>
          <w:rFonts w:hint="eastAsia" w:ascii="宋体" w:hAnsi="宋体"/>
          <w:sz w:val="24"/>
          <w:szCs w:val="24"/>
        </w:rPr>
      </w:pPr>
      <w:r>
        <w:rPr>
          <w:rFonts w:hint="eastAsia" w:ascii="宋体" w:hAnsi="宋体"/>
          <w:sz w:val="24"/>
          <w:szCs w:val="24"/>
        </w:rPr>
        <w:t>2、本协议一式肆份，甲乙双方各执两份，经双方签字盖章后之日起生效。</w:t>
      </w:r>
    </w:p>
    <w:p>
      <w:pPr>
        <w:ind w:firstLine="480" w:firstLineChars="200"/>
        <w:rPr>
          <w:rFonts w:hint="eastAsia" w:ascii="宋体" w:hAnsi="宋体"/>
          <w:sz w:val="24"/>
          <w:szCs w:val="24"/>
        </w:rPr>
      </w:pPr>
    </w:p>
    <w:p>
      <w:pPr>
        <w:ind w:firstLine="480" w:firstLineChars="200"/>
        <w:rPr>
          <w:rFonts w:ascii="宋体" w:hAnsi="宋体"/>
          <w:sz w:val="24"/>
          <w:szCs w:val="24"/>
        </w:rPr>
      </w:pPr>
    </w:p>
    <w:p>
      <w:pPr>
        <w:rPr>
          <w:rFonts w:ascii="宋体" w:hAnsi="宋体"/>
          <w:sz w:val="24"/>
          <w:szCs w:val="24"/>
        </w:rPr>
      </w:pPr>
      <w:r>
        <w:rPr>
          <w:rFonts w:hint="eastAsia" w:ascii="宋体" w:hAnsi="宋体"/>
          <w:sz w:val="24"/>
          <w:szCs w:val="24"/>
        </w:rPr>
        <w:t xml:space="preserve">甲方 （公章）：                          乙方（公章）                 </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 xml:space="preserve">法定代表人：                             授权代表：           </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经办人：</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spacing w:line="320" w:lineRule="exact"/>
        <w:jc w:val="left"/>
        <w:rPr>
          <w:rFonts w:hint="eastAsia" w:ascii="宋体" w:hAnsi="宋体"/>
          <w:sz w:val="24"/>
          <w:szCs w:val="24"/>
        </w:rPr>
      </w:pPr>
      <w:r>
        <w:rPr>
          <w:rFonts w:hint="eastAsia" w:ascii="宋体" w:hAnsi="宋体"/>
          <w:sz w:val="24"/>
          <w:szCs w:val="24"/>
        </w:rPr>
        <w:t>开户行：建行北碚支行</w:t>
      </w:r>
    </w:p>
    <w:p>
      <w:pPr>
        <w:spacing w:line="320" w:lineRule="exact"/>
        <w:jc w:val="left"/>
        <w:rPr>
          <w:rFonts w:hint="eastAsia" w:ascii="宋体" w:hAnsi="宋体"/>
          <w:sz w:val="24"/>
          <w:szCs w:val="24"/>
        </w:rPr>
      </w:pPr>
      <w:r>
        <w:rPr>
          <w:rFonts w:hint="eastAsia" w:ascii="宋体" w:hAnsi="宋体"/>
          <w:sz w:val="24"/>
          <w:szCs w:val="24"/>
        </w:rPr>
        <w:t>账号：</w:t>
      </w:r>
      <w:r>
        <w:rPr>
          <w:rFonts w:ascii="宋体" w:hAnsi="宋体"/>
          <w:sz w:val="24"/>
          <w:szCs w:val="24"/>
        </w:rPr>
        <w:t>5000 1093 6000 5001 2527</w:t>
      </w:r>
    </w:p>
    <w:p>
      <w:pPr>
        <w:rPr>
          <w:rFonts w:ascii="宋体" w:hAnsi="宋体"/>
          <w:sz w:val="24"/>
          <w:szCs w:val="24"/>
        </w:rPr>
      </w:pPr>
      <w:r>
        <w:rPr>
          <w:rFonts w:hint="eastAsia" w:ascii="宋体" w:hAnsi="宋体"/>
          <w:sz w:val="24"/>
          <w:szCs w:val="24"/>
        </w:rPr>
        <w:t>纳税人识别号：12500109450388583N</w:t>
      </w:r>
    </w:p>
    <w:p>
      <w:pPr>
        <w:rPr>
          <w:rFonts w:ascii="宋体" w:hAnsi="宋体"/>
          <w:sz w:val="24"/>
          <w:szCs w:val="24"/>
        </w:rPr>
      </w:pPr>
      <w:r>
        <w:rPr>
          <w:rFonts w:hint="eastAsia" w:ascii="宋体" w:hAnsi="宋体"/>
          <w:sz w:val="24"/>
          <w:szCs w:val="24"/>
        </w:rPr>
        <w:t xml:space="preserve">地址：重庆市北碚区嘉陵村69号          地址：               </w:t>
      </w:r>
    </w:p>
    <w:p>
      <w:pPr>
        <w:rPr>
          <w:rFonts w:ascii="宋体" w:hAnsi="宋体"/>
          <w:sz w:val="24"/>
          <w:szCs w:val="24"/>
        </w:rPr>
      </w:pPr>
      <w:r>
        <w:rPr>
          <w:rFonts w:hint="eastAsia" w:ascii="宋体" w:hAnsi="宋体"/>
          <w:sz w:val="24"/>
          <w:szCs w:val="24"/>
        </w:rPr>
        <w:t xml:space="preserve">电话：                                 电话：             </w:t>
      </w:r>
    </w:p>
    <w:p>
      <w:pPr>
        <w:rPr>
          <w:rFonts w:ascii="宋体" w:hAnsi="宋体"/>
          <w:sz w:val="24"/>
          <w:szCs w:val="24"/>
        </w:rPr>
      </w:pPr>
    </w:p>
    <w:p>
      <w:pPr>
        <w:rPr>
          <w:rFonts w:hint="eastAsia" w:ascii="宋体" w:hAnsi="宋体"/>
          <w:sz w:val="24"/>
          <w:szCs w:val="24"/>
        </w:rPr>
      </w:pPr>
      <w:r>
        <w:rPr>
          <w:rFonts w:hint="eastAsia" w:ascii="宋体" w:hAnsi="宋体"/>
          <w:sz w:val="24"/>
          <w:szCs w:val="24"/>
        </w:rPr>
        <w:t>签约日期：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             签约日期：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rPr>
          <w:rFonts w:hint="eastAsia" w:ascii="宋体" w:hAnsi="宋体"/>
          <w:sz w:val="24"/>
          <w:szCs w:val="24"/>
        </w:rPr>
      </w:pPr>
    </w:p>
    <w:p>
      <w:pPr>
        <w:spacing w:line="440" w:lineRule="exact"/>
        <w:rPr>
          <w:rFonts w:hint="eastAsia" w:ascii="宋体" w:hAnsi="宋体" w:cs="方正仿宋_GBK"/>
          <w:sz w:val="24"/>
          <w:szCs w:val="24"/>
        </w:rPr>
      </w:pPr>
    </w:p>
    <w:p>
      <w:pPr>
        <w:pStyle w:val="3"/>
        <w:spacing w:before="0" w:beforeLines="0" w:after="0" w:afterLines="0" w:line="276" w:lineRule="auto"/>
        <w:rPr>
          <w:rFonts w:hint="eastAsia" w:ascii="宋体" w:hAnsi="宋体" w:eastAsia="宋体"/>
        </w:rPr>
      </w:pPr>
      <w:bookmarkStart w:id="59" w:name="_Toc8360"/>
      <w:r>
        <w:rPr>
          <w:rFonts w:hint="eastAsia" w:ascii="宋体" w:hAnsi="宋体" w:eastAsia="宋体"/>
        </w:rPr>
        <w:t>第六篇  响应文件格式</w:t>
      </w:r>
      <w:bookmarkEnd w:id="59"/>
    </w:p>
    <w:p>
      <w:pPr>
        <w:snapToGrid w:val="0"/>
        <w:spacing w:line="276" w:lineRule="auto"/>
        <w:ind w:firstLine="482" w:firstLineChars="200"/>
        <w:rPr>
          <w:rFonts w:hint="eastAsia" w:ascii="宋体" w:hAnsi="宋体"/>
          <w:b/>
          <w:sz w:val="24"/>
          <w:szCs w:val="24"/>
        </w:rPr>
      </w:pPr>
      <w:r>
        <w:rPr>
          <w:rFonts w:hint="eastAsia" w:ascii="宋体" w:hAnsi="宋体"/>
          <w:b/>
          <w:sz w:val="24"/>
          <w:szCs w:val="24"/>
        </w:rPr>
        <w:t>一、经济文件</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（一）报价一览表</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（二）分项报价明细表</w:t>
      </w:r>
    </w:p>
    <w:p>
      <w:pPr>
        <w:snapToGrid w:val="0"/>
        <w:spacing w:line="276" w:lineRule="auto"/>
        <w:ind w:firstLine="482" w:firstLineChars="200"/>
        <w:rPr>
          <w:rFonts w:hint="eastAsia" w:ascii="宋体" w:hAnsi="宋体"/>
          <w:b/>
          <w:sz w:val="24"/>
          <w:szCs w:val="24"/>
        </w:rPr>
      </w:pPr>
      <w:r>
        <w:rPr>
          <w:rFonts w:hint="eastAsia" w:ascii="宋体" w:hAnsi="宋体"/>
          <w:b/>
          <w:sz w:val="24"/>
          <w:szCs w:val="24"/>
        </w:rPr>
        <w:t>二、资格文件</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（一）营业执照（副本）或事业单位法人证书（副本）复印件</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（二）组织机构代码证复印件</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（三）竞争性磋商参与函（格式）</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（四）法定代表人身份证明书（格式）</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（五）法定代表人授权委托书（格式）</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（六）书面声明（格式）</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（七）税务登记证（副本）复印件和社会保险缴纳证明材料</w:t>
      </w:r>
    </w:p>
    <w:p>
      <w:pPr>
        <w:snapToGrid w:val="0"/>
        <w:spacing w:line="276" w:lineRule="auto"/>
        <w:ind w:firstLine="480" w:firstLineChars="200"/>
        <w:rPr>
          <w:rFonts w:hint="eastAsia" w:ascii="宋体" w:hAnsi="宋体"/>
          <w:sz w:val="24"/>
          <w:szCs w:val="24"/>
        </w:rPr>
      </w:pPr>
      <w:r>
        <w:rPr>
          <w:rFonts w:hint="eastAsia" w:ascii="宋体" w:hAnsi="宋体"/>
          <w:sz w:val="24"/>
          <w:szCs w:val="24"/>
        </w:rPr>
        <w:t>（八）特定资格条件证书或证明文件</w:t>
      </w:r>
    </w:p>
    <w:p>
      <w:pPr>
        <w:snapToGrid w:val="0"/>
        <w:spacing w:line="276" w:lineRule="auto"/>
        <w:ind w:firstLine="480" w:firstLineChars="200"/>
        <w:rPr>
          <w:rFonts w:hint="eastAsia" w:ascii="宋体" w:hAnsi="宋体"/>
          <w:b/>
          <w:sz w:val="24"/>
          <w:szCs w:val="24"/>
        </w:rPr>
      </w:pPr>
      <w:r>
        <w:rPr>
          <w:rFonts w:hint="eastAsia" w:ascii="宋体" w:hAnsi="宋体"/>
          <w:sz w:val="24"/>
          <w:szCs w:val="24"/>
        </w:rPr>
        <w:t>说明：供应商按“三证合一”登记制度办理营业执照的，组织机构代码证和税务登记证以供应商所提供的法人营业执照（副本）复印件为准。</w:t>
      </w:r>
    </w:p>
    <w:p>
      <w:pPr>
        <w:snapToGrid w:val="0"/>
        <w:spacing w:line="276" w:lineRule="auto"/>
        <w:ind w:firstLine="482" w:firstLineChars="200"/>
        <w:rPr>
          <w:rFonts w:hint="eastAsia" w:ascii="宋体" w:hAnsi="宋体"/>
          <w:b/>
          <w:sz w:val="24"/>
          <w:szCs w:val="24"/>
        </w:rPr>
      </w:pPr>
      <w:r>
        <w:rPr>
          <w:rFonts w:hint="eastAsia" w:ascii="宋体" w:hAnsi="宋体"/>
          <w:b/>
          <w:sz w:val="24"/>
          <w:szCs w:val="24"/>
        </w:rPr>
        <w:t>三、服务响应文件</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（一）服务具体方案</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（二）商务承诺</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（三）服务响应条款差异表</w:t>
      </w:r>
    </w:p>
    <w:p>
      <w:pPr>
        <w:tabs>
          <w:tab w:val="left" w:pos="1764"/>
        </w:tabs>
        <w:snapToGrid w:val="0"/>
        <w:spacing w:line="276" w:lineRule="auto"/>
        <w:ind w:firstLine="482" w:firstLineChars="200"/>
        <w:rPr>
          <w:rFonts w:hint="eastAsia" w:ascii="宋体" w:hAnsi="宋体"/>
          <w:b/>
          <w:sz w:val="24"/>
          <w:szCs w:val="24"/>
        </w:rPr>
      </w:pPr>
      <w:r>
        <w:rPr>
          <w:rFonts w:hint="eastAsia" w:ascii="宋体" w:hAnsi="宋体"/>
          <w:b/>
          <w:sz w:val="24"/>
          <w:szCs w:val="24"/>
        </w:rPr>
        <w:t>四、其他</w:t>
      </w:r>
    </w:p>
    <w:p>
      <w:pPr>
        <w:snapToGrid w:val="0"/>
        <w:spacing w:line="276" w:lineRule="auto"/>
        <w:ind w:firstLine="480" w:firstLineChars="200"/>
        <w:rPr>
          <w:rFonts w:hint="eastAsia" w:ascii="宋体" w:hAnsi="宋体"/>
          <w:sz w:val="24"/>
          <w:szCs w:val="24"/>
        </w:rPr>
      </w:pPr>
      <w:r>
        <w:rPr>
          <w:rFonts w:hint="eastAsia" w:ascii="宋体" w:hAnsi="宋体"/>
          <w:sz w:val="24"/>
          <w:szCs w:val="24"/>
        </w:rPr>
        <w:t>（一）其他与项目有关的资料（自附）</w:t>
      </w:r>
    </w:p>
    <w:p>
      <w:pPr>
        <w:pStyle w:val="4"/>
        <w:spacing w:line="276" w:lineRule="auto"/>
        <w:ind w:firstLine="560" w:firstLineChars="200"/>
        <w:rPr>
          <w:rFonts w:hint="eastAsia"/>
          <w:b/>
          <w:szCs w:val="28"/>
        </w:rPr>
      </w:pPr>
      <w:r>
        <w:rPr>
          <w:rFonts w:hint="eastAsia"/>
        </w:rPr>
        <w:br w:type="page"/>
      </w:r>
      <w:bookmarkStart w:id="60" w:name="_Toc429584884"/>
      <w:bookmarkStart w:id="61" w:name="_Toc441065694"/>
      <w:bookmarkStart w:id="62" w:name="_Toc12664"/>
      <w:r>
        <w:rPr>
          <w:rFonts w:hint="eastAsia"/>
          <w:b/>
          <w:szCs w:val="28"/>
        </w:rPr>
        <w:t>一、经济文件</w:t>
      </w:r>
      <w:bookmarkEnd w:id="60"/>
      <w:bookmarkEnd w:id="61"/>
      <w:bookmarkEnd w:id="62"/>
    </w:p>
    <w:p>
      <w:pPr>
        <w:snapToGrid w:val="0"/>
        <w:spacing w:line="276" w:lineRule="auto"/>
        <w:jc w:val="center"/>
        <w:rPr>
          <w:rFonts w:hint="eastAsia" w:ascii="宋体" w:hAnsi="宋体"/>
          <w:szCs w:val="36"/>
        </w:rPr>
      </w:pPr>
      <w:r>
        <w:rPr>
          <w:rFonts w:hint="eastAsia" w:ascii="宋体" w:hAnsi="宋体"/>
          <w:szCs w:val="36"/>
        </w:rPr>
        <w:t>（一）报价一览表</w:t>
      </w:r>
    </w:p>
    <w:p>
      <w:pPr>
        <w:spacing w:line="276" w:lineRule="auto"/>
        <w:ind w:firstLine="240" w:firstLineChars="100"/>
        <w:rPr>
          <w:rFonts w:hint="eastAsia" w:ascii="宋体" w:hAnsi="宋体"/>
          <w:sz w:val="24"/>
          <w:szCs w:val="28"/>
        </w:rPr>
      </w:pPr>
      <w:r>
        <w:rPr>
          <w:rFonts w:hint="eastAsia" w:ascii="宋体" w:hAnsi="宋体"/>
          <w:sz w:val="24"/>
          <w:szCs w:val="28"/>
        </w:rPr>
        <w:t>项目名称：</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15"/>
        <w:gridCol w:w="1815"/>
        <w:gridCol w:w="2205"/>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spacing w:line="276" w:lineRule="auto"/>
              <w:jc w:val="center"/>
              <w:rPr>
                <w:rFonts w:hint="eastAsia" w:ascii="宋体" w:hAnsi="宋体"/>
                <w:sz w:val="21"/>
                <w:szCs w:val="28"/>
              </w:rPr>
            </w:pPr>
            <w:r>
              <w:rPr>
                <w:rFonts w:hint="eastAsia" w:ascii="宋体" w:hAnsi="宋体"/>
                <w:sz w:val="21"/>
                <w:szCs w:val="28"/>
              </w:rPr>
              <w:t>供应商名称</w:t>
            </w:r>
          </w:p>
        </w:tc>
        <w:tc>
          <w:tcPr>
            <w:tcW w:w="7840" w:type="dxa"/>
            <w:gridSpan w:val="4"/>
            <w:noWrap w:val="0"/>
            <w:vAlign w:val="center"/>
          </w:tcPr>
          <w:p>
            <w:pPr>
              <w:spacing w:line="276" w:lineRule="auto"/>
              <w:jc w:val="center"/>
              <w:rPr>
                <w:rFonts w:hint="eastAsia" w:ascii="宋体" w:hAnsi="宋体"/>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spacing w:line="276" w:lineRule="auto"/>
              <w:jc w:val="center"/>
              <w:rPr>
                <w:rFonts w:hint="eastAsia" w:ascii="宋体" w:hAnsi="宋体"/>
                <w:sz w:val="21"/>
                <w:szCs w:val="28"/>
              </w:rPr>
            </w:pPr>
            <w:r>
              <w:rPr>
                <w:rFonts w:hint="eastAsia" w:ascii="宋体" w:hAnsi="宋体"/>
                <w:sz w:val="21"/>
                <w:szCs w:val="28"/>
              </w:rPr>
              <w:t>分包号</w:t>
            </w:r>
          </w:p>
        </w:tc>
        <w:tc>
          <w:tcPr>
            <w:tcW w:w="1715" w:type="dxa"/>
            <w:noWrap w:val="0"/>
            <w:vAlign w:val="center"/>
          </w:tcPr>
          <w:p>
            <w:pPr>
              <w:spacing w:line="276" w:lineRule="auto"/>
              <w:jc w:val="center"/>
              <w:rPr>
                <w:rFonts w:hint="eastAsia" w:ascii="宋体" w:hAnsi="宋体"/>
                <w:sz w:val="21"/>
                <w:szCs w:val="28"/>
              </w:rPr>
            </w:pPr>
            <w:r>
              <w:rPr>
                <w:rFonts w:hint="eastAsia" w:ascii="宋体" w:hAnsi="宋体"/>
                <w:sz w:val="21"/>
                <w:szCs w:val="28"/>
              </w:rPr>
              <w:t>分包名称</w:t>
            </w:r>
          </w:p>
        </w:tc>
        <w:tc>
          <w:tcPr>
            <w:tcW w:w="1815" w:type="dxa"/>
            <w:noWrap w:val="0"/>
            <w:vAlign w:val="center"/>
          </w:tcPr>
          <w:p>
            <w:pPr>
              <w:snapToGrid w:val="0"/>
              <w:spacing w:line="276" w:lineRule="auto"/>
              <w:jc w:val="center"/>
              <w:rPr>
                <w:rFonts w:hint="eastAsia" w:ascii="宋体" w:hAnsi="宋体"/>
                <w:sz w:val="21"/>
                <w:szCs w:val="28"/>
              </w:rPr>
            </w:pPr>
            <w:r>
              <w:rPr>
                <w:rFonts w:hint="eastAsia" w:ascii="宋体" w:hAnsi="宋体"/>
                <w:sz w:val="21"/>
                <w:szCs w:val="28"/>
              </w:rPr>
              <w:t>报价（小写）</w:t>
            </w:r>
          </w:p>
        </w:tc>
        <w:tc>
          <w:tcPr>
            <w:tcW w:w="2205" w:type="dxa"/>
            <w:noWrap w:val="0"/>
            <w:vAlign w:val="center"/>
          </w:tcPr>
          <w:p>
            <w:pPr>
              <w:spacing w:line="276" w:lineRule="auto"/>
              <w:jc w:val="center"/>
              <w:rPr>
                <w:rFonts w:hint="eastAsia" w:ascii="宋体" w:hAnsi="宋体"/>
                <w:sz w:val="21"/>
                <w:szCs w:val="28"/>
              </w:rPr>
            </w:pPr>
            <w:r>
              <w:rPr>
                <w:rFonts w:hint="eastAsia" w:ascii="宋体" w:hAnsi="宋体"/>
                <w:sz w:val="21"/>
                <w:szCs w:val="28"/>
              </w:rPr>
              <w:t>服务期</w:t>
            </w:r>
            <w:r>
              <w:rPr>
                <w:rFonts w:hint="eastAsia" w:ascii="宋体" w:hAnsi="宋体"/>
                <w:sz w:val="21"/>
                <w:szCs w:val="21"/>
              </w:rPr>
              <w:t>（或为：实施时间）</w:t>
            </w:r>
          </w:p>
        </w:tc>
        <w:tc>
          <w:tcPr>
            <w:tcW w:w="2105" w:type="dxa"/>
            <w:noWrap w:val="0"/>
            <w:vAlign w:val="center"/>
          </w:tcPr>
          <w:p>
            <w:pPr>
              <w:spacing w:line="276" w:lineRule="auto"/>
              <w:jc w:val="center"/>
              <w:rPr>
                <w:rFonts w:hint="eastAsia" w:ascii="宋体" w:hAnsi="宋体"/>
                <w:sz w:val="21"/>
                <w:szCs w:val="28"/>
              </w:rPr>
            </w:pPr>
            <w:r>
              <w:rPr>
                <w:rFonts w:hint="eastAsia" w:ascii="宋体" w:hAnsi="宋体"/>
                <w:sz w:val="21"/>
                <w:szCs w:val="28"/>
              </w:rPr>
              <w:t>服务地点（</w:t>
            </w:r>
            <w:r>
              <w:rPr>
                <w:rFonts w:hint="eastAsia" w:ascii="宋体" w:hAnsi="宋体"/>
                <w:sz w:val="21"/>
                <w:szCs w:val="21"/>
              </w:rPr>
              <w:t>或为：</w:t>
            </w:r>
            <w:r>
              <w:rPr>
                <w:rFonts w:hint="eastAsia" w:ascii="宋体" w:hAnsi="宋体"/>
                <w:sz w:val="21"/>
                <w:szCs w:val="28"/>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276" w:lineRule="auto"/>
              <w:jc w:val="center"/>
              <w:rPr>
                <w:rFonts w:hint="eastAsia" w:ascii="宋体" w:hAnsi="宋体"/>
                <w:sz w:val="21"/>
                <w:szCs w:val="28"/>
              </w:rPr>
            </w:pPr>
          </w:p>
        </w:tc>
        <w:tc>
          <w:tcPr>
            <w:tcW w:w="1715" w:type="dxa"/>
            <w:tcBorders>
              <w:bottom w:val="single" w:color="auto" w:sz="4" w:space="0"/>
            </w:tcBorders>
            <w:noWrap w:val="0"/>
            <w:vAlign w:val="top"/>
          </w:tcPr>
          <w:p>
            <w:pPr>
              <w:spacing w:line="276" w:lineRule="auto"/>
              <w:rPr>
                <w:rFonts w:hint="eastAsia" w:ascii="宋体" w:hAnsi="宋体"/>
                <w:sz w:val="21"/>
                <w:szCs w:val="28"/>
              </w:rPr>
            </w:pPr>
          </w:p>
        </w:tc>
        <w:tc>
          <w:tcPr>
            <w:tcW w:w="1815" w:type="dxa"/>
            <w:tcBorders>
              <w:bottom w:val="single" w:color="auto" w:sz="4" w:space="0"/>
            </w:tcBorders>
            <w:noWrap w:val="0"/>
            <w:vAlign w:val="top"/>
          </w:tcPr>
          <w:p>
            <w:pPr>
              <w:spacing w:line="276" w:lineRule="auto"/>
              <w:rPr>
                <w:rFonts w:hint="eastAsia" w:ascii="宋体" w:hAnsi="宋体"/>
                <w:sz w:val="21"/>
                <w:szCs w:val="28"/>
              </w:rPr>
            </w:pPr>
          </w:p>
        </w:tc>
        <w:tc>
          <w:tcPr>
            <w:tcW w:w="2205" w:type="dxa"/>
            <w:tcBorders>
              <w:bottom w:val="single" w:color="auto" w:sz="4" w:space="0"/>
            </w:tcBorders>
            <w:noWrap w:val="0"/>
            <w:vAlign w:val="top"/>
          </w:tcPr>
          <w:p>
            <w:pPr>
              <w:spacing w:line="276" w:lineRule="auto"/>
              <w:rPr>
                <w:rFonts w:hint="eastAsia" w:ascii="宋体" w:hAnsi="宋体"/>
                <w:sz w:val="21"/>
                <w:szCs w:val="28"/>
              </w:rPr>
            </w:pPr>
          </w:p>
        </w:tc>
        <w:tc>
          <w:tcPr>
            <w:tcW w:w="2105" w:type="dxa"/>
            <w:tcBorders>
              <w:bottom w:val="single" w:color="auto" w:sz="4" w:space="0"/>
            </w:tcBorders>
            <w:noWrap w:val="0"/>
            <w:vAlign w:val="top"/>
          </w:tcPr>
          <w:p>
            <w:pPr>
              <w:spacing w:line="276" w:lineRule="auto"/>
              <w:rPr>
                <w:rFonts w:hint="eastAsia" w:ascii="宋体" w:hAnsi="宋体"/>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noWrap w:val="0"/>
            <w:vAlign w:val="center"/>
          </w:tcPr>
          <w:p>
            <w:pPr>
              <w:spacing w:line="276" w:lineRule="auto"/>
              <w:rPr>
                <w:rFonts w:hint="eastAsia" w:ascii="宋体" w:hAnsi="宋体"/>
                <w:sz w:val="21"/>
                <w:szCs w:val="28"/>
              </w:rPr>
            </w:pPr>
            <w:r>
              <w:rPr>
                <w:rFonts w:hint="eastAsia" w:ascii="宋体" w:hAnsi="宋体"/>
                <w:sz w:val="21"/>
                <w:szCs w:val="28"/>
              </w:rPr>
              <w:t xml:space="preserve">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noWrap w:val="0"/>
            <w:vAlign w:val="center"/>
          </w:tcPr>
          <w:p>
            <w:pPr>
              <w:pStyle w:val="33"/>
              <w:spacing w:line="276" w:lineRule="auto"/>
              <w:rPr>
                <w:rFonts w:hint="eastAsia" w:ascii="宋体" w:hAnsi="宋体"/>
                <w:sz w:val="21"/>
                <w:szCs w:val="28"/>
                <w:lang w:val="en-US" w:eastAsia="zh-CN"/>
              </w:rPr>
            </w:pPr>
            <w:r>
              <w:rPr>
                <w:rFonts w:hint="eastAsia" w:ascii="宋体" w:hAnsi="宋体"/>
                <w:sz w:val="21"/>
                <w:szCs w:val="28"/>
                <w:lang w:val="en-US" w:eastAsia="zh-CN"/>
              </w:rPr>
              <w:t xml:space="preserve">备注： </w:t>
            </w:r>
          </w:p>
        </w:tc>
      </w:tr>
    </w:tbl>
    <w:p>
      <w:pPr>
        <w:pStyle w:val="33"/>
        <w:spacing w:line="276" w:lineRule="auto"/>
        <w:rPr>
          <w:rFonts w:hint="eastAsia" w:ascii="宋体" w:hAnsi="宋体"/>
          <w:sz w:val="24"/>
          <w:szCs w:val="28"/>
        </w:rPr>
      </w:pPr>
    </w:p>
    <w:p>
      <w:pPr>
        <w:spacing w:line="276" w:lineRule="auto"/>
        <w:rPr>
          <w:rFonts w:hint="eastAsia" w:ascii="宋体" w:hAnsi="宋体"/>
        </w:rPr>
      </w:pPr>
    </w:p>
    <w:p>
      <w:pPr>
        <w:spacing w:line="276" w:lineRule="auto"/>
        <w:rPr>
          <w:rFonts w:hint="eastAsia" w:ascii="宋体" w:hAnsi="宋体"/>
          <w:sz w:val="24"/>
          <w:szCs w:val="28"/>
        </w:rPr>
      </w:pPr>
    </w:p>
    <w:p>
      <w:pPr>
        <w:spacing w:line="276" w:lineRule="auto"/>
        <w:ind w:firstLine="480" w:firstLineChars="200"/>
        <w:rPr>
          <w:rFonts w:hint="eastAsia" w:ascii="宋体" w:hAnsi="宋体"/>
          <w:sz w:val="24"/>
          <w:szCs w:val="28"/>
        </w:rPr>
      </w:pPr>
      <w:r>
        <w:rPr>
          <w:rFonts w:hint="eastAsia" w:ascii="宋体" w:hAnsi="宋体"/>
          <w:sz w:val="24"/>
          <w:szCs w:val="28"/>
        </w:rPr>
        <w:t>供应商                                   法定代表人授权代表：</w:t>
      </w:r>
    </w:p>
    <w:p>
      <w:pPr>
        <w:spacing w:line="276" w:lineRule="auto"/>
        <w:rPr>
          <w:rFonts w:hint="eastAsia" w:ascii="宋体" w:hAnsi="宋体"/>
          <w:sz w:val="24"/>
          <w:szCs w:val="28"/>
        </w:rPr>
      </w:pPr>
      <w:r>
        <w:rPr>
          <w:rFonts w:hint="eastAsia" w:ascii="宋体" w:hAnsi="宋体"/>
          <w:sz w:val="24"/>
          <w:szCs w:val="28"/>
        </w:rPr>
        <w:t xml:space="preserve">  （供应商公章）                               （签字或盖章）</w:t>
      </w:r>
    </w:p>
    <w:p>
      <w:pPr>
        <w:spacing w:line="276" w:lineRule="auto"/>
        <w:rPr>
          <w:rFonts w:hint="eastAsia" w:ascii="宋体" w:hAnsi="宋体"/>
          <w:sz w:val="24"/>
          <w:szCs w:val="28"/>
        </w:rPr>
      </w:pPr>
    </w:p>
    <w:p>
      <w:pPr>
        <w:spacing w:line="276" w:lineRule="auto"/>
        <w:rPr>
          <w:rFonts w:hint="eastAsia" w:ascii="宋体" w:hAnsi="宋体"/>
          <w:sz w:val="24"/>
          <w:szCs w:val="28"/>
        </w:rPr>
      </w:pPr>
    </w:p>
    <w:p>
      <w:pPr>
        <w:spacing w:line="276" w:lineRule="auto"/>
        <w:rPr>
          <w:rFonts w:hint="eastAsia" w:ascii="宋体" w:hAnsi="宋体"/>
          <w:sz w:val="24"/>
          <w:szCs w:val="28"/>
        </w:rPr>
      </w:pPr>
      <w:r>
        <w:rPr>
          <w:rFonts w:hint="eastAsia" w:ascii="宋体" w:hAnsi="宋体"/>
          <w:sz w:val="24"/>
          <w:szCs w:val="28"/>
        </w:rPr>
        <w:t xml:space="preserve">                                            年     月     日</w:t>
      </w:r>
    </w:p>
    <w:p>
      <w:pPr>
        <w:snapToGrid w:val="0"/>
        <w:spacing w:line="276" w:lineRule="auto"/>
        <w:ind w:firstLine="480" w:firstLineChars="200"/>
        <w:rPr>
          <w:rFonts w:hint="eastAsia" w:ascii="宋体" w:hAnsi="宋体"/>
          <w:sz w:val="24"/>
          <w:szCs w:val="28"/>
        </w:rPr>
      </w:pPr>
    </w:p>
    <w:p>
      <w:pPr>
        <w:snapToGrid w:val="0"/>
        <w:spacing w:line="276" w:lineRule="auto"/>
        <w:ind w:firstLine="480" w:firstLineChars="200"/>
        <w:rPr>
          <w:rFonts w:hint="eastAsia" w:ascii="宋体" w:hAnsi="宋体"/>
          <w:sz w:val="24"/>
          <w:szCs w:val="28"/>
        </w:rPr>
      </w:pPr>
    </w:p>
    <w:p>
      <w:pPr>
        <w:snapToGrid w:val="0"/>
        <w:spacing w:line="276" w:lineRule="auto"/>
        <w:ind w:firstLine="480" w:firstLineChars="200"/>
        <w:rPr>
          <w:rFonts w:hint="eastAsia" w:ascii="宋体" w:hAnsi="宋体"/>
          <w:sz w:val="24"/>
          <w:szCs w:val="28"/>
        </w:rPr>
      </w:pPr>
    </w:p>
    <w:p>
      <w:pPr>
        <w:snapToGrid w:val="0"/>
        <w:spacing w:line="276" w:lineRule="auto"/>
        <w:ind w:firstLine="480" w:firstLineChars="200"/>
        <w:rPr>
          <w:rFonts w:hint="eastAsia" w:ascii="宋体" w:hAnsi="宋体"/>
          <w:sz w:val="24"/>
          <w:szCs w:val="28"/>
        </w:rPr>
      </w:pPr>
      <w:r>
        <w:rPr>
          <w:rFonts w:hint="eastAsia" w:ascii="宋体" w:hAnsi="宋体"/>
          <w:sz w:val="24"/>
          <w:szCs w:val="28"/>
        </w:rPr>
        <w:t>说明：</w:t>
      </w:r>
    </w:p>
    <w:p>
      <w:pPr>
        <w:snapToGrid w:val="0"/>
        <w:spacing w:line="276" w:lineRule="auto"/>
        <w:ind w:firstLine="480" w:firstLineChars="200"/>
        <w:rPr>
          <w:rFonts w:hint="eastAsia" w:ascii="宋体" w:hAnsi="宋体"/>
          <w:sz w:val="24"/>
          <w:szCs w:val="28"/>
        </w:rPr>
      </w:pPr>
      <w:r>
        <w:rPr>
          <w:rFonts w:hint="eastAsia" w:ascii="宋体" w:hAnsi="宋体"/>
          <w:sz w:val="24"/>
          <w:szCs w:val="28"/>
        </w:rPr>
        <w:t>1、报价一览表按格式填列；</w:t>
      </w:r>
    </w:p>
    <w:p>
      <w:pPr>
        <w:snapToGrid w:val="0"/>
        <w:spacing w:line="276" w:lineRule="auto"/>
        <w:ind w:firstLine="480" w:firstLineChars="200"/>
        <w:rPr>
          <w:rFonts w:hint="eastAsia" w:ascii="宋体" w:hAnsi="宋体"/>
          <w:sz w:val="24"/>
          <w:szCs w:val="28"/>
        </w:rPr>
      </w:pPr>
      <w:r>
        <w:rPr>
          <w:rFonts w:hint="eastAsia" w:ascii="宋体" w:hAnsi="宋体"/>
          <w:sz w:val="24"/>
          <w:szCs w:val="28"/>
        </w:rPr>
        <w:t>2、若以联合体参与投标的，应在“供应商名称”处注明所有联合体名称。</w:t>
      </w:r>
    </w:p>
    <w:p>
      <w:pPr>
        <w:snapToGrid w:val="0"/>
        <w:spacing w:line="276" w:lineRule="auto"/>
        <w:ind w:firstLine="560" w:firstLineChars="200"/>
        <w:rPr>
          <w:rFonts w:hint="eastAsia" w:ascii="宋体" w:hAnsi="宋体"/>
          <w:sz w:val="24"/>
          <w:szCs w:val="28"/>
        </w:rPr>
      </w:pPr>
      <w:r>
        <w:rPr>
          <w:rFonts w:hint="eastAsia" w:ascii="宋体" w:hAnsi="宋体"/>
          <w:szCs w:val="28"/>
        </w:rPr>
        <w:br w:type="page"/>
      </w:r>
      <w:r>
        <w:rPr>
          <w:rFonts w:hint="eastAsia" w:ascii="宋体" w:hAnsi="宋体"/>
          <w:szCs w:val="36"/>
        </w:rPr>
        <w:t>（二）分项报价明细表</w:t>
      </w:r>
    </w:p>
    <w:p>
      <w:pPr>
        <w:spacing w:line="276" w:lineRule="auto"/>
        <w:rPr>
          <w:rFonts w:hint="eastAsia" w:ascii="宋体" w:hAnsi="宋体"/>
          <w:sz w:val="24"/>
          <w:szCs w:val="28"/>
        </w:rPr>
      </w:pPr>
      <w:r>
        <w:rPr>
          <w:rFonts w:hint="eastAsia" w:ascii="宋体" w:hAnsi="宋体"/>
          <w:sz w:val="24"/>
          <w:szCs w:val="28"/>
        </w:rPr>
        <w:t>项目名称：</w:t>
      </w:r>
    </w:p>
    <w:p>
      <w:pPr>
        <w:spacing w:line="276" w:lineRule="auto"/>
        <w:rPr>
          <w:rFonts w:hint="eastAsia" w:ascii="宋体" w:hAnsi="宋体"/>
          <w:sz w:val="24"/>
          <w:szCs w:val="28"/>
        </w:rPr>
      </w:pPr>
      <w:r>
        <w:rPr>
          <w:rFonts w:hint="eastAsia" w:ascii="宋体" w:hAnsi="宋体"/>
          <w:sz w:val="24"/>
          <w:szCs w:val="28"/>
        </w:rPr>
        <w:t xml:space="preserve">                                                         单位：元</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05"/>
        <w:gridCol w:w="2220"/>
        <w:gridCol w:w="720"/>
        <w:gridCol w:w="832"/>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3" w:type="dxa"/>
            <w:noWrap w:val="0"/>
            <w:vAlign w:val="center"/>
          </w:tcPr>
          <w:p>
            <w:pPr>
              <w:spacing w:line="276" w:lineRule="auto"/>
              <w:jc w:val="center"/>
              <w:rPr>
                <w:rFonts w:hint="eastAsia" w:ascii="宋体" w:hAnsi="宋体"/>
                <w:b/>
                <w:sz w:val="21"/>
                <w:szCs w:val="21"/>
              </w:rPr>
            </w:pPr>
            <w:r>
              <w:rPr>
                <w:rFonts w:hint="eastAsia" w:ascii="宋体" w:hAnsi="宋体"/>
                <w:b/>
                <w:sz w:val="21"/>
                <w:szCs w:val="21"/>
              </w:rPr>
              <w:t>序号</w:t>
            </w:r>
          </w:p>
        </w:tc>
        <w:tc>
          <w:tcPr>
            <w:tcW w:w="1305" w:type="dxa"/>
            <w:noWrap w:val="0"/>
            <w:vAlign w:val="center"/>
          </w:tcPr>
          <w:p>
            <w:pPr>
              <w:spacing w:line="276" w:lineRule="auto"/>
              <w:jc w:val="center"/>
              <w:rPr>
                <w:rFonts w:hint="eastAsia" w:ascii="宋体" w:hAnsi="宋体"/>
                <w:b/>
                <w:sz w:val="21"/>
                <w:szCs w:val="21"/>
              </w:rPr>
            </w:pPr>
            <w:r>
              <w:rPr>
                <w:rFonts w:hint="eastAsia" w:ascii="宋体" w:hAnsi="宋体"/>
                <w:b/>
                <w:sz w:val="21"/>
                <w:szCs w:val="21"/>
              </w:rPr>
              <w:t>服务名称</w:t>
            </w:r>
          </w:p>
        </w:tc>
        <w:tc>
          <w:tcPr>
            <w:tcW w:w="2220" w:type="dxa"/>
            <w:noWrap w:val="0"/>
            <w:vAlign w:val="center"/>
          </w:tcPr>
          <w:p>
            <w:pPr>
              <w:spacing w:line="276" w:lineRule="auto"/>
              <w:jc w:val="center"/>
              <w:rPr>
                <w:rFonts w:hint="eastAsia" w:ascii="宋体" w:hAnsi="宋体"/>
                <w:b/>
                <w:sz w:val="21"/>
                <w:szCs w:val="21"/>
              </w:rPr>
            </w:pPr>
            <w:r>
              <w:rPr>
                <w:rFonts w:hint="eastAsia" w:ascii="宋体" w:hAnsi="宋体"/>
                <w:b/>
                <w:sz w:val="21"/>
                <w:szCs w:val="21"/>
              </w:rPr>
              <w:t>具体服务内容</w:t>
            </w:r>
          </w:p>
        </w:tc>
        <w:tc>
          <w:tcPr>
            <w:tcW w:w="720" w:type="dxa"/>
            <w:noWrap w:val="0"/>
            <w:vAlign w:val="center"/>
          </w:tcPr>
          <w:p>
            <w:pPr>
              <w:spacing w:line="276" w:lineRule="auto"/>
              <w:jc w:val="center"/>
              <w:rPr>
                <w:rFonts w:hint="eastAsia" w:ascii="宋体" w:hAnsi="宋体"/>
                <w:b/>
                <w:sz w:val="21"/>
                <w:szCs w:val="21"/>
              </w:rPr>
            </w:pPr>
            <w:r>
              <w:rPr>
                <w:rFonts w:hint="eastAsia" w:ascii="宋体" w:hAnsi="宋体"/>
                <w:b/>
                <w:sz w:val="21"/>
                <w:szCs w:val="21"/>
              </w:rPr>
              <w:t>单价</w:t>
            </w:r>
          </w:p>
        </w:tc>
        <w:tc>
          <w:tcPr>
            <w:tcW w:w="832" w:type="dxa"/>
            <w:noWrap w:val="0"/>
            <w:vAlign w:val="center"/>
          </w:tcPr>
          <w:p>
            <w:pPr>
              <w:spacing w:line="276" w:lineRule="auto"/>
              <w:jc w:val="center"/>
              <w:rPr>
                <w:rFonts w:hint="eastAsia" w:ascii="宋体" w:hAnsi="宋体"/>
                <w:b/>
                <w:sz w:val="21"/>
                <w:szCs w:val="21"/>
              </w:rPr>
            </w:pPr>
            <w:r>
              <w:rPr>
                <w:rFonts w:hint="eastAsia" w:ascii="宋体" w:hAnsi="宋体"/>
                <w:b/>
                <w:sz w:val="21"/>
                <w:szCs w:val="21"/>
              </w:rPr>
              <w:t>数量</w:t>
            </w:r>
          </w:p>
        </w:tc>
        <w:tc>
          <w:tcPr>
            <w:tcW w:w="2238" w:type="dxa"/>
            <w:noWrap w:val="0"/>
            <w:vAlign w:val="center"/>
          </w:tcPr>
          <w:p>
            <w:pPr>
              <w:spacing w:line="276" w:lineRule="auto"/>
              <w:jc w:val="center"/>
              <w:rPr>
                <w:rFonts w:hint="eastAsia" w:ascii="宋体" w:hAnsi="宋体"/>
                <w:b/>
                <w:sz w:val="21"/>
                <w:szCs w:val="21"/>
              </w:rPr>
            </w:pPr>
            <w:r>
              <w:rPr>
                <w:rFonts w:hint="eastAsia" w:ascii="宋体" w:hAns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1</w:t>
            </w:r>
          </w:p>
        </w:tc>
        <w:tc>
          <w:tcPr>
            <w:tcW w:w="1305" w:type="dxa"/>
            <w:noWrap w:val="0"/>
            <w:vAlign w:val="center"/>
          </w:tcPr>
          <w:p>
            <w:pPr>
              <w:spacing w:line="276" w:lineRule="auto"/>
              <w:jc w:val="center"/>
              <w:rPr>
                <w:rFonts w:hint="eastAsia" w:ascii="宋体" w:hAnsi="宋体"/>
                <w:sz w:val="21"/>
                <w:szCs w:val="21"/>
              </w:rPr>
            </w:pP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2</w:t>
            </w:r>
          </w:p>
        </w:tc>
        <w:tc>
          <w:tcPr>
            <w:tcW w:w="1305" w:type="dxa"/>
            <w:noWrap w:val="0"/>
            <w:vAlign w:val="center"/>
          </w:tcPr>
          <w:p>
            <w:pPr>
              <w:spacing w:line="276" w:lineRule="auto"/>
              <w:jc w:val="center"/>
              <w:rPr>
                <w:rFonts w:hint="eastAsia" w:ascii="宋体" w:hAnsi="宋体"/>
                <w:sz w:val="21"/>
                <w:szCs w:val="21"/>
              </w:rPr>
            </w:pP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3</w:t>
            </w:r>
          </w:p>
        </w:tc>
        <w:tc>
          <w:tcPr>
            <w:tcW w:w="1305" w:type="dxa"/>
            <w:noWrap w:val="0"/>
            <w:vAlign w:val="center"/>
          </w:tcPr>
          <w:p>
            <w:pPr>
              <w:spacing w:line="276" w:lineRule="auto"/>
              <w:jc w:val="center"/>
              <w:rPr>
                <w:rFonts w:hint="eastAsia" w:ascii="宋体" w:hAnsi="宋体"/>
                <w:sz w:val="21"/>
                <w:szCs w:val="21"/>
              </w:rPr>
            </w:pP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4</w:t>
            </w:r>
          </w:p>
        </w:tc>
        <w:tc>
          <w:tcPr>
            <w:tcW w:w="1305" w:type="dxa"/>
            <w:noWrap w:val="0"/>
            <w:vAlign w:val="center"/>
          </w:tcPr>
          <w:p>
            <w:pPr>
              <w:spacing w:line="276" w:lineRule="auto"/>
              <w:jc w:val="center"/>
              <w:rPr>
                <w:rFonts w:hint="eastAsia" w:ascii="宋体" w:hAnsi="宋体"/>
                <w:sz w:val="21"/>
                <w:szCs w:val="21"/>
              </w:rPr>
            </w:pP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5</w:t>
            </w:r>
          </w:p>
        </w:tc>
        <w:tc>
          <w:tcPr>
            <w:tcW w:w="1305" w:type="dxa"/>
            <w:noWrap w:val="0"/>
            <w:vAlign w:val="center"/>
          </w:tcPr>
          <w:p>
            <w:pPr>
              <w:spacing w:line="276" w:lineRule="auto"/>
              <w:jc w:val="center"/>
              <w:rPr>
                <w:rFonts w:hint="eastAsia" w:ascii="宋体" w:hAnsi="宋体"/>
                <w:sz w:val="21"/>
                <w:szCs w:val="21"/>
              </w:rPr>
            </w:pP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6</w:t>
            </w:r>
          </w:p>
        </w:tc>
        <w:tc>
          <w:tcPr>
            <w:tcW w:w="1305" w:type="dxa"/>
            <w:noWrap w:val="0"/>
            <w:vAlign w:val="center"/>
          </w:tcPr>
          <w:p>
            <w:pPr>
              <w:spacing w:line="276" w:lineRule="auto"/>
              <w:jc w:val="center"/>
              <w:rPr>
                <w:rFonts w:hint="eastAsia" w:ascii="宋体" w:hAnsi="宋体"/>
                <w:sz w:val="21"/>
                <w:szCs w:val="21"/>
              </w:rPr>
            </w:pP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7</w:t>
            </w:r>
          </w:p>
        </w:tc>
        <w:tc>
          <w:tcPr>
            <w:tcW w:w="1305" w:type="dxa"/>
            <w:noWrap w:val="0"/>
            <w:vAlign w:val="center"/>
          </w:tcPr>
          <w:p>
            <w:pPr>
              <w:spacing w:line="276" w:lineRule="auto"/>
              <w:jc w:val="center"/>
              <w:rPr>
                <w:rFonts w:hint="eastAsia" w:ascii="宋体" w:hAnsi="宋体"/>
                <w:sz w:val="21"/>
                <w:szCs w:val="21"/>
              </w:rPr>
            </w:pP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8</w:t>
            </w:r>
          </w:p>
        </w:tc>
        <w:tc>
          <w:tcPr>
            <w:tcW w:w="1305" w:type="dxa"/>
            <w:noWrap w:val="0"/>
            <w:vAlign w:val="center"/>
          </w:tcPr>
          <w:p>
            <w:pPr>
              <w:spacing w:line="276" w:lineRule="auto"/>
              <w:jc w:val="center"/>
              <w:rPr>
                <w:rFonts w:hint="eastAsia" w:ascii="宋体" w:hAnsi="宋体"/>
                <w:sz w:val="21"/>
                <w:szCs w:val="21"/>
              </w:rPr>
            </w:pP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9</w:t>
            </w:r>
          </w:p>
        </w:tc>
        <w:tc>
          <w:tcPr>
            <w:tcW w:w="1305" w:type="dxa"/>
            <w:noWrap w:val="0"/>
            <w:vAlign w:val="center"/>
          </w:tcPr>
          <w:p>
            <w:pPr>
              <w:spacing w:line="276" w:lineRule="auto"/>
              <w:jc w:val="center"/>
              <w:rPr>
                <w:rFonts w:hint="eastAsia" w:ascii="宋体" w:hAnsi="宋体"/>
                <w:sz w:val="21"/>
                <w:szCs w:val="21"/>
              </w:rPr>
            </w:pP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10</w:t>
            </w:r>
          </w:p>
        </w:tc>
        <w:tc>
          <w:tcPr>
            <w:tcW w:w="1305" w:type="dxa"/>
            <w:noWrap w:val="0"/>
            <w:vAlign w:val="center"/>
          </w:tcPr>
          <w:p>
            <w:pPr>
              <w:spacing w:line="276" w:lineRule="auto"/>
              <w:jc w:val="center"/>
              <w:rPr>
                <w:rFonts w:hint="eastAsia" w:ascii="宋体" w:hAnsi="宋体"/>
                <w:sz w:val="21"/>
                <w:szCs w:val="21"/>
              </w:rPr>
            </w:pP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11</w:t>
            </w:r>
          </w:p>
        </w:tc>
        <w:tc>
          <w:tcPr>
            <w:tcW w:w="1305" w:type="dxa"/>
            <w:noWrap w:val="0"/>
            <w:vAlign w:val="center"/>
          </w:tcPr>
          <w:p>
            <w:pPr>
              <w:spacing w:line="276" w:lineRule="auto"/>
              <w:jc w:val="center"/>
              <w:rPr>
                <w:rFonts w:hint="eastAsia" w:ascii="宋体" w:hAnsi="宋体"/>
                <w:sz w:val="21"/>
                <w:szCs w:val="21"/>
              </w:rPr>
            </w:pPr>
            <w:r>
              <w:rPr>
                <w:rFonts w:hint="eastAsia" w:ascii="宋体" w:hAnsi="宋体"/>
                <w:sz w:val="21"/>
                <w:szCs w:val="21"/>
              </w:rPr>
              <w:t>……</w:t>
            </w:r>
          </w:p>
        </w:tc>
        <w:tc>
          <w:tcPr>
            <w:tcW w:w="2220" w:type="dxa"/>
            <w:noWrap w:val="0"/>
            <w:vAlign w:val="top"/>
          </w:tcPr>
          <w:p>
            <w:pPr>
              <w:spacing w:line="276" w:lineRule="auto"/>
              <w:jc w:val="center"/>
              <w:rPr>
                <w:rFonts w:hint="eastAsia" w:ascii="宋体" w:hAnsi="宋体"/>
                <w:sz w:val="21"/>
                <w:szCs w:val="21"/>
              </w:rPr>
            </w:pPr>
          </w:p>
        </w:tc>
        <w:tc>
          <w:tcPr>
            <w:tcW w:w="720" w:type="dxa"/>
            <w:noWrap w:val="0"/>
            <w:vAlign w:val="top"/>
          </w:tcPr>
          <w:p>
            <w:pPr>
              <w:spacing w:line="276" w:lineRule="auto"/>
              <w:jc w:val="center"/>
              <w:rPr>
                <w:rFonts w:hint="eastAsia" w:ascii="宋体" w:hAnsi="宋体"/>
                <w:sz w:val="21"/>
                <w:szCs w:val="21"/>
              </w:rPr>
            </w:pPr>
          </w:p>
        </w:tc>
        <w:tc>
          <w:tcPr>
            <w:tcW w:w="832" w:type="dxa"/>
            <w:noWrap w:val="0"/>
            <w:vAlign w:val="top"/>
          </w:tcPr>
          <w:p>
            <w:pPr>
              <w:spacing w:line="276" w:lineRule="auto"/>
              <w:jc w:val="center"/>
              <w:rPr>
                <w:rFonts w:hint="eastAsia" w:ascii="宋体" w:hAnsi="宋体"/>
                <w:sz w:val="21"/>
                <w:szCs w:val="21"/>
              </w:rPr>
            </w:pPr>
          </w:p>
        </w:tc>
        <w:tc>
          <w:tcPr>
            <w:tcW w:w="2238" w:type="dxa"/>
            <w:noWrap w:val="0"/>
            <w:vAlign w:val="top"/>
          </w:tcPr>
          <w:p>
            <w:pPr>
              <w:spacing w:line="276"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4"/>
              <w:spacing w:line="276" w:lineRule="auto"/>
              <w:ind w:left="0"/>
              <w:jc w:val="center"/>
              <w:outlineLvl w:val="0"/>
              <w:rPr>
                <w:rFonts w:hint="eastAsia" w:ascii="宋体" w:hAnsi="宋体"/>
                <w:sz w:val="21"/>
                <w:szCs w:val="21"/>
              </w:rPr>
            </w:pPr>
            <w:r>
              <w:rPr>
                <w:rFonts w:hint="eastAsia" w:ascii="宋体" w:hAnsi="宋体"/>
                <w:sz w:val="21"/>
                <w:szCs w:val="21"/>
              </w:rPr>
              <w:t>12</w:t>
            </w:r>
          </w:p>
        </w:tc>
        <w:tc>
          <w:tcPr>
            <w:tcW w:w="1305" w:type="dxa"/>
            <w:noWrap w:val="0"/>
            <w:vAlign w:val="center"/>
          </w:tcPr>
          <w:p>
            <w:pPr>
              <w:spacing w:line="276" w:lineRule="auto"/>
              <w:jc w:val="center"/>
              <w:rPr>
                <w:rFonts w:hint="eastAsia" w:ascii="宋体" w:hAnsi="宋体"/>
                <w:sz w:val="21"/>
                <w:szCs w:val="21"/>
              </w:rPr>
            </w:pPr>
            <w:r>
              <w:rPr>
                <w:rFonts w:hint="eastAsia" w:ascii="宋体" w:hAnsi="宋体"/>
                <w:sz w:val="21"/>
                <w:szCs w:val="21"/>
              </w:rPr>
              <w:t>总计</w:t>
            </w:r>
          </w:p>
        </w:tc>
        <w:tc>
          <w:tcPr>
            <w:tcW w:w="6010" w:type="dxa"/>
            <w:gridSpan w:val="4"/>
            <w:noWrap w:val="0"/>
            <w:vAlign w:val="top"/>
          </w:tcPr>
          <w:p>
            <w:pPr>
              <w:spacing w:line="276" w:lineRule="auto"/>
              <w:rPr>
                <w:rFonts w:hint="eastAsia" w:ascii="宋体" w:hAnsi="宋体"/>
                <w:sz w:val="21"/>
                <w:szCs w:val="21"/>
              </w:rPr>
            </w:pPr>
          </w:p>
        </w:tc>
      </w:tr>
    </w:tbl>
    <w:p>
      <w:pPr>
        <w:spacing w:line="276" w:lineRule="auto"/>
        <w:ind w:firstLine="480" w:firstLineChars="200"/>
        <w:rPr>
          <w:rFonts w:hint="eastAsia" w:ascii="宋体" w:hAnsi="宋体"/>
          <w:sz w:val="24"/>
          <w:szCs w:val="28"/>
        </w:rPr>
      </w:pPr>
    </w:p>
    <w:p>
      <w:pPr>
        <w:spacing w:line="276" w:lineRule="auto"/>
        <w:ind w:firstLine="600" w:firstLineChars="250"/>
        <w:rPr>
          <w:rFonts w:hint="eastAsia" w:ascii="宋体" w:hAnsi="宋体"/>
          <w:sz w:val="24"/>
          <w:szCs w:val="28"/>
        </w:rPr>
      </w:pPr>
      <w:r>
        <w:rPr>
          <w:rFonts w:hint="eastAsia" w:ascii="宋体" w:hAnsi="宋体"/>
          <w:sz w:val="24"/>
          <w:szCs w:val="28"/>
        </w:rPr>
        <w:t>供应商：                                  法定代表人授权代表：</w:t>
      </w:r>
    </w:p>
    <w:p>
      <w:pPr>
        <w:spacing w:line="276" w:lineRule="auto"/>
        <w:rPr>
          <w:rFonts w:hint="eastAsia" w:ascii="宋体" w:hAnsi="宋体"/>
          <w:sz w:val="24"/>
          <w:szCs w:val="28"/>
        </w:rPr>
      </w:pPr>
      <w:r>
        <w:rPr>
          <w:rFonts w:hint="eastAsia" w:ascii="宋体" w:hAnsi="宋体"/>
          <w:sz w:val="24"/>
          <w:szCs w:val="28"/>
        </w:rPr>
        <w:t xml:space="preserve">  （供应商公章）                               （签字或盖章）</w:t>
      </w:r>
    </w:p>
    <w:p>
      <w:pPr>
        <w:spacing w:line="276" w:lineRule="auto"/>
        <w:rPr>
          <w:rFonts w:hint="eastAsia" w:ascii="宋体" w:hAnsi="宋体"/>
          <w:sz w:val="24"/>
          <w:szCs w:val="28"/>
        </w:rPr>
      </w:pPr>
    </w:p>
    <w:p>
      <w:pPr>
        <w:spacing w:line="276" w:lineRule="auto"/>
        <w:rPr>
          <w:rFonts w:hint="eastAsia" w:ascii="宋体" w:hAnsi="宋体"/>
          <w:sz w:val="24"/>
          <w:szCs w:val="28"/>
        </w:rPr>
      </w:pPr>
    </w:p>
    <w:p>
      <w:pPr>
        <w:snapToGrid w:val="0"/>
        <w:spacing w:line="276" w:lineRule="auto"/>
        <w:ind w:firstLine="480" w:firstLineChars="200"/>
        <w:rPr>
          <w:rFonts w:hint="eastAsia" w:ascii="宋体" w:hAnsi="宋体"/>
          <w:sz w:val="24"/>
          <w:szCs w:val="28"/>
        </w:rPr>
      </w:pPr>
      <w:r>
        <w:rPr>
          <w:rFonts w:hint="eastAsia" w:ascii="宋体" w:hAnsi="宋体"/>
          <w:sz w:val="24"/>
          <w:szCs w:val="28"/>
        </w:rPr>
        <w:t xml:space="preserve">                                            年     月     日</w:t>
      </w:r>
    </w:p>
    <w:p>
      <w:pPr>
        <w:snapToGrid w:val="0"/>
        <w:spacing w:line="276" w:lineRule="auto"/>
        <w:ind w:firstLine="480" w:firstLineChars="200"/>
        <w:rPr>
          <w:rFonts w:hint="eastAsia" w:ascii="宋体" w:hAnsi="宋体"/>
          <w:sz w:val="24"/>
          <w:szCs w:val="28"/>
        </w:rPr>
      </w:pPr>
    </w:p>
    <w:p>
      <w:pPr>
        <w:snapToGrid w:val="0"/>
        <w:spacing w:line="276" w:lineRule="auto"/>
        <w:ind w:firstLine="480" w:firstLineChars="200"/>
        <w:rPr>
          <w:rFonts w:hint="eastAsia" w:ascii="宋体" w:hAnsi="宋体"/>
          <w:sz w:val="24"/>
          <w:szCs w:val="28"/>
        </w:rPr>
      </w:pPr>
      <w:r>
        <w:rPr>
          <w:rFonts w:hint="eastAsia" w:ascii="宋体" w:hAnsi="宋体"/>
          <w:sz w:val="24"/>
          <w:szCs w:val="28"/>
        </w:rPr>
        <w:t>注：</w:t>
      </w:r>
    </w:p>
    <w:p>
      <w:pPr>
        <w:snapToGrid w:val="0"/>
        <w:spacing w:line="276" w:lineRule="auto"/>
        <w:ind w:firstLine="480" w:firstLineChars="200"/>
        <w:rPr>
          <w:rFonts w:hint="eastAsia" w:ascii="宋体" w:hAnsi="宋体"/>
          <w:sz w:val="24"/>
          <w:szCs w:val="28"/>
        </w:rPr>
      </w:pPr>
      <w:r>
        <w:rPr>
          <w:rFonts w:hint="eastAsia" w:ascii="宋体" w:hAnsi="宋体"/>
          <w:sz w:val="24"/>
          <w:szCs w:val="28"/>
        </w:rPr>
        <w:t>1、请供应商完整填写本表；</w:t>
      </w:r>
    </w:p>
    <w:p>
      <w:pPr>
        <w:snapToGrid w:val="0"/>
        <w:spacing w:line="276" w:lineRule="auto"/>
        <w:ind w:firstLine="480" w:firstLineChars="200"/>
        <w:rPr>
          <w:rFonts w:hint="eastAsia" w:ascii="宋体" w:hAnsi="宋体"/>
          <w:sz w:val="24"/>
          <w:szCs w:val="28"/>
        </w:rPr>
      </w:pPr>
      <w:r>
        <w:rPr>
          <w:rFonts w:hint="eastAsia" w:ascii="宋体" w:hAnsi="宋体"/>
          <w:sz w:val="24"/>
          <w:szCs w:val="28"/>
        </w:rPr>
        <w:t>2、该表可扩展，并逐页签字或盖章。</w:t>
      </w:r>
    </w:p>
    <w:p>
      <w:pPr>
        <w:pStyle w:val="4"/>
        <w:pageBreakBefore/>
        <w:spacing w:line="276" w:lineRule="auto"/>
        <w:rPr>
          <w:rFonts w:hint="eastAsia"/>
          <w:b/>
          <w:szCs w:val="28"/>
        </w:rPr>
      </w:pPr>
      <w:bookmarkStart w:id="63" w:name="_Toc441065695"/>
      <w:bookmarkStart w:id="64" w:name="_Toc20784"/>
      <w:bookmarkStart w:id="65" w:name="_Toc429584885"/>
      <w:r>
        <w:rPr>
          <w:rFonts w:hint="eastAsia"/>
          <w:b/>
          <w:szCs w:val="28"/>
        </w:rPr>
        <w:t>二、资格文件</w:t>
      </w:r>
      <w:bookmarkEnd w:id="63"/>
      <w:bookmarkEnd w:id="64"/>
      <w:bookmarkEnd w:id="65"/>
    </w:p>
    <w:p>
      <w:pPr>
        <w:tabs>
          <w:tab w:val="left" w:pos="6300"/>
        </w:tabs>
        <w:snapToGrid w:val="0"/>
        <w:spacing w:line="276" w:lineRule="auto"/>
        <w:ind w:firstLine="570"/>
        <w:rPr>
          <w:rFonts w:hint="eastAsia" w:ascii="宋体" w:hAnsi="宋体"/>
        </w:rPr>
      </w:pPr>
      <w:r>
        <w:rPr>
          <w:rFonts w:hint="eastAsia" w:ascii="宋体" w:hAnsi="宋体"/>
        </w:rPr>
        <w:t>（一）营业执照（副本）</w:t>
      </w:r>
      <w:r>
        <w:rPr>
          <w:rFonts w:hint="eastAsia" w:ascii="宋体" w:hAnsi="宋体"/>
          <w:szCs w:val="28"/>
        </w:rPr>
        <w:t>或事业单位法人证书（副本）</w:t>
      </w:r>
      <w:r>
        <w:rPr>
          <w:rFonts w:hint="eastAsia" w:ascii="宋体" w:hAnsi="宋体"/>
        </w:rPr>
        <w:t>复印件</w:t>
      </w:r>
    </w:p>
    <w:p>
      <w:pPr>
        <w:tabs>
          <w:tab w:val="left" w:pos="6300"/>
        </w:tabs>
        <w:snapToGrid w:val="0"/>
        <w:spacing w:line="276" w:lineRule="auto"/>
        <w:ind w:firstLine="570"/>
        <w:rPr>
          <w:rFonts w:hint="eastAsia" w:ascii="宋体" w:hAnsi="宋体"/>
        </w:rPr>
      </w:pPr>
    </w:p>
    <w:p>
      <w:pPr>
        <w:tabs>
          <w:tab w:val="left" w:pos="6300"/>
        </w:tabs>
        <w:snapToGrid w:val="0"/>
        <w:spacing w:line="276" w:lineRule="auto"/>
        <w:ind w:firstLine="570"/>
        <w:rPr>
          <w:rFonts w:hint="eastAsia" w:ascii="宋体" w:hAnsi="宋体"/>
        </w:rPr>
      </w:pPr>
      <w:r>
        <w:rPr>
          <w:rFonts w:hint="eastAsia" w:ascii="宋体" w:hAnsi="宋体"/>
        </w:rPr>
        <w:t>（二）组织机构代码证复印件</w:t>
      </w:r>
    </w:p>
    <w:p>
      <w:pPr>
        <w:tabs>
          <w:tab w:val="left" w:pos="6300"/>
        </w:tabs>
        <w:snapToGrid w:val="0"/>
        <w:spacing w:line="276" w:lineRule="auto"/>
        <w:rPr>
          <w:rFonts w:hint="eastAsia" w:ascii="宋体" w:hAnsi="宋体"/>
        </w:rPr>
      </w:pPr>
    </w:p>
    <w:p>
      <w:pPr>
        <w:snapToGrid w:val="0"/>
        <w:spacing w:before="120" w:beforeLines="50" w:line="276" w:lineRule="auto"/>
        <w:jc w:val="center"/>
        <w:rPr>
          <w:rFonts w:hint="eastAsia" w:ascii="宋体" w:hAnsi="宋体"/>
          <w:szCs w:val="28"/>
        </w:rPr>
      </w:pPr>
      <w:r>
        <w:rPr>
          <w:rFonts w:hint="eastAsia" w:ascii="宋体" w:hAnsi="宋体"/>
        </w:rPr>
        <w:br w:type="page"/>
      </w:r>
      <w:r>
        <w:rPr>
          <w:rFonts w:hint="eastAsia" w:ascii="宋体" w:hAnsi="宋体"/>
          <w:szCs w:val="28"/>
        </w:rPr>
        <w:t>（三）竞争性磋商参与函（格式）</w:t>
      </w:r>
    </w:p>
    <w:p>
      <w:pPr>
        <w:spacing w:line="276" w:lineRule="auto"/>
        <w:rPr>
          <w:rFonts w:hint="eastAsia" w:ascii="宋体" w:hAnsi="宋体"/>
          <w:sz w:val="24"/>
          <w:szCs w:val="28"/>
        </w:rPr>
      </w:pPr>
    </w:p>
    <w:p>
      <w:pPr>
        <w:spacing w:line="276" w:lineRule="auto"/>
        <w:rPr>
          <w:rFonts w:hint="eastAsia" w:ascii="宋体" w:hAnsi="宋体"/>
          <w:sz w:val="24"/>
          <w:szCs w:val="28"/>
          <w:u w:val="single"/>
        </w:rPr>
      </w:pPr>
      <w:r>
        <w:rPr>
          <w:rFonts w:hint="eastAsia" w:ascii="宋体" w:hAnsi="宋体"/>
          <w:sz w:val="24"/>
          <w:szCs w:val="28"/>
        </w:rPr>
        <w:t>项目名称：</w:t>
      </w:r>
      <w:r>
        <w:rPr>
          <w:rFonts w:hint="eastAsia" w:ascii="宋体" w:hAnsi="宋体"/>
          <w:sz w:val="24"/>
          <w:szCs w:val="28"/>
          <w:u w:val="single"/>
        </w:rPr>
        <w:t xml:space="preserve">                                             </w:t>
      </w:r>
    </w:p>
    <w:p>
      <w:pPr>
        <w:spacing w:line="276" w:lineRule="auto"/>
        <w:rPr>
          <w:rFonts w:hint="eastAsia" w:ascii="宋体" w:hAnsi="宋体"/>
          <w:sz w:val="24"/>
          <w:szCs w:val="28"/>
        </w:rPr>
      </w:pPr>
    </w:p>
    <w:p>
      <w:pPr>
        <w:tabs>
          <w:tab w:val="left" w:pos="6300"/>
        </w:tabs>
        <w:snapToGrid w:val="0"/>
        <w:spacing w:line="276"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w:t>
      </w:r>
      <w:r>
        <w:rPr>
          <w:rFonts w:hint="eastAsia" w:ascii="宋体" w:hAnsi="宋体"/>
          <w:sz w:val="24"/>
          <w:szCs w:val="28"/>
        </w:rPr>
        <w:t>（采购人名称）：</w:t>
      </w:r>
    </w:p>
    <w:p>
      <w:pPr>
        <w:snapToGrid w:val="0"/>
        <w:spacing w:before="120" w:beforeLines="50" w:line="276" w:lineRule="auto"/>
        <w:ind w:firstLine="480" w:firstLineChars="200"/>
        <w:rPr>
          <w:rFonts w:hint="eastAsia" w:ascii="宋体" w:hAnsi="宋体"/>
          <w:sz w:val="24"/>
          <w:szCs w:val="28"/>
        </w:rPr>
      </w:pPr>
      <w:r>
        <w:rPr>
          <w:rFonts w:hint="eastAsia" w:ascii="宋体" w:hAnsi="宋体"/>
          <w:sz w:val="24"/>
          <w:szCs w:val="28"/>
          <w:u w:val="single"/>
        </w:rPr>
        <w:t xml:space="preserve">                        </w:t>
      </w:r>
      <w:r>
        <w:rPr>
          <w:rFonts w:hint="eastAsia" w:ascii="宋体" w:hAnsi="宋体"/>
          <w:sz w:val="24"/>
          <w:szCs w:val="28"/>
        </w:rPr>
        <w:t>（供应商名称）系中华人民共和国合法企业，注册地址：</w:t>
      </w:r>
      <w:r>
        <w:rPr>
          <w:rFonts w:hint="eastAsia" w:ascii="宋体" w:hAnsi="宋体"/>
          <w:sz w:val="24"/>
          <w:szCs w:val="28"/>
          <w:u w:val="single"/>
        </w:rPr>
        <w:t xml:space="preserve">                               </w:t>
      </w:r>
      <w:r>
        <w:rPr>
          <w:rFonts w:hint="eastAsia" w:ascii="宋体" w:hAnsi="宋体"/>
          <w:sz w:val="24"/>
          <w:szCs w:val="28"/>
        </w:rPr>
        <w:t>。我方就参加本次参与磋商有关事项郑重声明如下：</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一、我方完全理解并接受该项目磋商文件所有要求。</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二、我方提交的所有响应文件、资料都是准确和真实的，如有虚假或隐瞒，我方愿意承担一切法律责任。</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三、我方承诺按照磋商文件要求，提供项目的技术服务。</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四、我方按磋商文件要求提交的响应文件为：响应文件正本1份，副本  份。</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五、我方承诺：本次提交响应文件有效期为90天。</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六、我方最后报价为闭口价。即在响应文件有效期和合同有效期内，该报价固定不变。</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七、如果我方中标，我方将履行磋商文件中规定的各项要求以及我方响应文件的各项承诺，按《政府采购法》、《合同法》及合同约定条款承担我方责任。</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八、我方未</w:t>
      </w:r>
      <w:r>
        <w:rPr>
          <w:rFonts w:hint="eastAsia" w:ascii="宋体" w:hAnsi="宋体"/>
          <w:sz w:val="24"/>
          <w:szCs w:val="24"/>
        </w:rPr>
        <w:t>为采购项目提供整体设计、规范编制或者项目管理、监理、检测等服务。</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九、我方理解，最低报价不是中标的唯一条件。</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十、我方同意按有关规定及磋商文件要求，缴纳足额投标保证金。</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十一、我方同意按磋商文件中标公示内容要求进行公示，自愿接受监督。</w:t>
      </w:r>
    </w:p>
    <w:p>
      <w:pPr>
        <w:tabs>
          <w:tab w:val="left" w:pos="6300"/>
        </w:tabs>
        <w:snapToGrid w:val="0"/>
        <w:spacing w:line="276" w:lineRule="auto"/>
        <w:ind w:firstLine="480" w:firstLineChars="200"/>
        <w:rPr>
          <w:rFonts w:hint="eastAsia" w:ascii="宋体" w:hAnsi="宋体"/>
          <w:sz w:val="24"/>
          <w:szCs w:val="28"/>
        </w:rPr>
      </w:pPr>
      <w:r>
        <w:rPr>
          <w:rFonts w:hint="eastAsia" w:ascii="宋体" w:hAnsi="宋体"/>
          <w:sz w:val="24"/>
          <w:szCs w:val="28"/>
        </w:rPr>
        <w:t>十二、我方保证不围标、不串标、不卖标、不转包、不违法分包、不接受挂靠，不允许他人以自己名义投标。</w:t>
      </w:r>
    </w:p>
    <w:p>
      <w:pPr>
        <w:tabs>
          <w:tab w:val="left" w:pos="6300"/>
        </w:tabs>
        <w:snapToGrid w:val="0"/>
        <w:spacing w:line="276" w:lineRule="auto"/>
        <w:ind w:firstLine="5460" w:firstLineChars="2275"/>
        <w:rPr>
          <w:rFonts w:hint="eastAsia" w:ascii="宋体" w:hAnsi="宋体"/>
          <w:sz w:val="24"/>
          <w:szCs w:val="28"/>
        </w:rPr>
      </w:pPr>
      <w:r>
        <w:rPr>
          <w:rFonts w:hint="eastAsia" w:ascii="宋体" w:hAnsi="宋体"/>
          <w:sz w:val="24"/>
          <w:szCs w:val="28"/>
        </w:rPr>
        <w:t>（供应商公章）</w:t>
      </w:r>
    </w:p>
    <w:p>
      <w:pPr>
        <w:tabs>
          <w:tab w:val="left" w:pos="6300"/>
        </w:tabs>
        <w:snapToGrid w:val="0"/>
        <w:spacing w:line="276" w:lineRule="auto"/>
        <w:ind w:firstLine="570"/>
        <w:rPr>
          <w:rFonts w:hint="eastAsia" w:ascii="宋体" w:hAnsi="宋体"/>
          <w:sz w:val="24"/>
          <w:szCs w:val="28"/>
        </w:rPr>
      </w:pPr>
    </w:p>
    <w:p>
      <w:pPr>
        <w:tabs>
          <w:tab w:val="left" w:pos="6300"/>
        </w:tabs>
        <w:snapToGrid w:val="0"/>
        <w:spacing w:line="276" w:lineRule="auto"/>
        <w:ind w:firstLine="5760" w:firstLineChars="2400"/>
        <w:rPr>
          <w:rFonts w:hint="eastAsia" w:ascii="宋体" w:hAnsi="宋体"/>
          <w:szCs w:val="28"/>
        </w:rPr>
      </w:pPr>
      <w:r>
        <w:rPr>
          <w:rFonts w:hint="eastAsia" w:ascii="宋体" w:hAnsi="宋体"/>
          <w:sz w:val="24"/>
          <w:szCs w:val="28"/>
        </w:rPr>
        <w:t>年    月   日</w:t>
      </w:r>
    </w:p>
    <w:p>
      <w:pPr>
        <w:widowControl/>
        <w:spacing w:line="276" w:lineRule="auto"/>
        <w:ind w:firstLine="560" w:firstLineChars="200"/>
        <w:jc w:val="left"/>
        <w:rPr>
          <w:rFonts w:hint="eastAsia" w:ascii="宋体" w:hAnsi="宋体"/>
        </w:rPr>
      </w:pPr>
    </w:p>
    <w:p>
      <w:pPr>
        <w:widowControl/>
        <w:spacing w:line="276" w:lineRule="auto"/>
        <w:ind w:firstLine="560" w:firstLineChars="200"/>
        <w:jc w:val="left"/>
        <w:rPr>
          <w:rFonts w:hint="eastAsia" w:ascii="宋体" w:hAnsi="宋体"/>
        </w:rPr>
      </w:pPr>
    </w:p>
    <w:p>
      <w:pPr>
        <w:widowControl/>
        <w:spacing w:line="276" w:lineRule="auto"/>
        <w:ind w:firstLine="560" w:firstLineChars="200"/>
        <w:jc w:val="left"/>
        <w:rPr>
          <w:rFonts w:hint="eastAsia" w:ascii="宋体" w:hAnsi="宋体"/>
        </w:rPr>
      </w:pPr>
    </w:p>
    <w:p>
      <w:pPr>
        <w:widowControl/>
        <w:spacing w:line="276" w:lineRule="auto"/>
        <w:ind w:firstLine="560" w:firstLineChars="200"/>
        <w:jc w:val="left"/>
        <w:rPr>
          <w:rFonts w:hint="eastAsia" w:ascii="宋体" w:hAnsi="宋体"/>
        </w:rPr>
      </w:pPr>
      <w:r>
        <w:rPr>
          <w:rFonts w:hint="eastAsia" w:ascii="宋体" w:hAnsi="宋体"/>
        </w:rPr>
        <w:br w:type="page"/>
      </w:r>
      <w:r>
        <w:rPr>
          <w:rFonts w:hint="eastAsia" w:ascii="宋体" w:hAnsi="宋体"/>
        </w:rPr>
        <w:t>（四）法定代表人身份证明书（格式）</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r>
        <w:rPr>
          <w:rFonts w:hint="eastAsia" w:ascii="宋体" w:hAnsi="宋体"/>
          <w:sz w:val="24"/>
        </w:rPr>
        <w:t>项目名称：</w:t>
      </w:r>
      <w:r>
        <w:rPr>
          <w:rFonts w:hint="eastAsia" w:ascii="宋体" w:hAnsi="宋体"/>
          <w:sz w:val="24"/>
          <w:u w:val="single"/>
        </w:rPr>
        <w:t xml:space="preserve">                                                </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（采购人名称）：</w:t>
      </w:r>
    </w:p>
    <w:p>
      <w:pPr>
        <w:tabs>
          <w:tab w:val="left" w:pos="6300"/>
        </w:tabs>
        <w:snapToGrid w:val="0"/>
        <w:spacing w:line="276" w:lineRule="auto"/>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r>
        <w:rPr>
          <w:rFonts w:hint="eastAsia" w:ascii="宋体" w:hAnsi="宋体"/>
          <w:sz w:val="24"/>
        </w:rPr>
        <w:t>特此证明。</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r>
        <w:rPr>
          <w:rFonts w:hint="eastAsia" w:ascii="宋体" w:hAnsi="宋体"/>
          <w:sz w:val="24"/>
        </w:rPr>
        <w:t xml:space="preserve">                                             （供应商公章）</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r>
        <w:rPr>
          <w:rFonts w:hint="eastAsia" w:ascii="宋体" w:hAnsi="宋体"/>
          <w:sz w:val="24"/>
        </w:rPr>
        <w:t xml:space="preserve">                                             年   月   日</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r>
        <w:rPr>
          <w:rFonts w:hint="eastAsia" w:ascii="宋体" w:hAnsi="宋体"/>
          <w:sz w:val="24"/>
        </w:rPr>
        <w:t>（附：法定代表人身份证正反面复印件）</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rPr>
          <w:rFonts w:hint="eastAsia" w:ascii="宋体" w:hAnsi="宋体"/>
        </w:rPr>
      </w:pPr>
    </w:p>
    <w:p>
      <w:pPr>
        <w:tabs>
          <w:tab w:val="left" w:pos="6300"/>
        </w:tabs>
        <w:snapToGrid w:val="0"/>
        <w:spacing w:line="276" w:lineRule="auto"/>
        <w:rPr>
          <w:rFonts w:hint="eastAsia" w:ascii="宋体" w:hAnsi="宋体"/>
        </w:rPr>
      </w:pPr>
    </w:p>
    <w:p>
      <w:pPr>
        <w:tabs>
          <w:tab w:val="left" w:pos="6300"/>
        </w:tabs>
        <w:snapToGrid w:val="0"/>
        <w:spacing w:line="276" w:lineRule="auto"/>
        <w:rPr>
          <w:rFonts w:hint="eastAsia" w:ascii="宋体" w:hAnsi="宋体"/>
        </w:rPr>
      </w:pPr>
    </w:p>
    <w:p>
      <w:pPr>
        <w:tabs>
          <w:tab w:val="left" w:pos="6300"/>
        </w:tabs>
        <w:snapToGrid w:val="0"/>
        <w:spacing w:line="276" w:lineRule="auto"/>
        <w:rPr>
          <w:rFonts w:hint="eastAsia" w:ascii="宋体" w:hAnsi="宋体"/>
        </w:rPr>
      </w:pPr>
    </w:p>
    <w:p>
      <w:pPr>
        <w:tabs>
          <w:tab w:val="left" w:pos="6300"/>
        </w:tabs>
        <w:snapToGrid w:val="0"/>
        <w:spacing w:line="276" w:lineRule="auto"/>
        <w:rPr>
          <w:rFonts w:hint="eastAsia" w:ascii="宋体" w:hAnsi="宋体"/>
        </w:rPr>
      </w:pPr>
    </w:p>
    <w:p>
      <w:pPr>
        <w:tabs>
          <w:tab w:val="left" w:pos="6300"/>
        </w:tabs>
        <w:snapToGrid w:val="0"/>
        <w:spacing w:line="276" w:lineRule="auto"/>
        <w:rPr>
          <w:rFonts w:hint="eastAsia" w:ascii="宋体" w:hAnsi="宋体"/>
        </w:rPr>
      </w:pPr>
      <w:r>
        <w:rPr>
          <w:rFonts w:hint="eastAsia" w:ascii="宋体" w:hAnsi="宋体"/>
        </w:rPr>
        <w:br w:type="page"/>
      </w:r>
      <w:r>
        <w:rPr>
          <w:rFonts w:hint="eastAsia" w:ascii="宋体" w:hAnsi="宋体"/>
        </w:rPr>
        <w:t>（五）法定代表人授权委托书（格式）</w:t>
      </w:r>
    </w:p>
    <w:p>
      <w:pPr>
        <w:tabs>
          <w:tab w:val="left" w:pos="6300"/>
        </w:tabs>
        <w:snapToGrid w:val="0"/>
        <w:spacing w:line="276" w:lineRule="auto"/>
        <w:ind w:firstLine="570"/>
        <w:rPr>
          <w:rFonts w:hint="eastAsia" w:ascii="宋体" w:hAnsi="宋体"/>
          <w:sz w:val="24"/>
        </w:rPr>
      </w:pPr>
      <w:r>
        <w:rPr>
          <w:rFonts w:hint="eastAsia" w:ascii="宋体" w:hAnsi="宋体"/>
          <w:sz w:val="24"/>
        </w:rPr>
        <w:t xml:space="preserve">    </w:t>
      </w:r>
    </w:p>
    <w:p>
      <w:pPr>
        <w:tabs>
          <w:tab w:val="left" w:pos="6300"/>
        </w:tabs>
        <w:snapToGrid w:val="0"/>
        <w:spacing w:line="276" w:lineRule="auto"/>
        <w:ind w:firstLine="480" w:firstLineChars="200"/>
        <w:rPr>
          <w:rFonts w:hint="eastAsia"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（采购人名称）：</w:t>
      </w:r>
    </w:p>
    <w:p>
      <w:pPr>
        <w:tabs>
          <w:tab w:val="left" w:pos="6300"/>
        </w:tabs>
        <w:snapToGrid w:val="0"/>
        <w:spacing w:line="276" w:lineRule="auto"/>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pPr>
        <w:tabs>
          <w:tab w:val="left" w:pos="6300"/>
        </w:tabs>
        <w:snapToGrid w:val="0"/>
        <w:spacing w:line="276" w:lineRule="auto"/>
        <w:ind w:firstLine="480" w:firstLineChars="200"/>
        <w:rPr>
          <w:rFonts w:hint="eastAsia" w:ascii="宋体" w:hAnsi="宋体"/>
          <w:sz w:val="24"/>
        </w:rPr>
      </w:pPr>
      <w:r>
        <w:rPr>
          <w:rFonts w:hint="eastAsia" w:ascii="宋体" w:hAnsi="宋体"/>
          <w:sz w:val="24"/>
        </w:rPr>
        <w:t>我单位对被授权人的签字负全部责任。</w:t>
      </w:r>
    </w:p>
    <w:p>
      <w:pPr>
        <w:tabs>
          <w:tab w:val="left" w:pos="6300"/>
        </w:tabs>
        <w:snapToGrid w:val="0"/>
        <w:spacing w:line="276" w:lineRule="auto"/>
        <w:ind w:firstLine="480" w:firstLineChars="200"/>
        <w:rPr>
          <w:rFonts w:hint="eastAsia"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r>
        <w:rPr>
          <w:rFonts w:hint="eastAsia" w:ascii="宋体" w:hAnsi="宋体"/>
          <w:sz w:val="24"/>
        </w:rPr>
        <w:t>被授权人：                                 供应商法定代表人：</w:t>
      </w:r>
    </w:p>
    <w:p>
      <w:pPr>
        <w:tabs>
          <w:tab w:val="left" w:pos="6300"/>
        </w:tabs>
        <w:snapToGrid w:val="0"/>
        <w:spacing w:line="276" w:lineRule="auto"/>
        <w:ind w:firstLine="570"/>
        <w:rPr>
          <w:rFonts w:hint="eastAsia" w:ascii="宋体" w:hAnsi="宋体"/>
          <w:sz w:val="24"/>
          <w:szCs w:val="28"/>
        </w:rPr>
      </w:pPr>
      <w:r>
        <w:rPr>
          <w:rFonts w:hint="eastAsia" w:ascii="宋体" w:hAnsi="宋体"/>
          <w:sz w:val="24"/>
          <w:szCs w:val="28"/>
        </w:rPr>
        <w:t>（签字或盖章）                                （签字或盖章）</w:t>
      </w:r>
    </w:p>
    <w:p>
      <w:pPr>
        <w:tabs>
          <w:tab w:val="left" w:pos="6300"/>
        </w:tabs>
        <w:snapToGrid w:val="0"/>
        <w:spacing w:line="276" w:lineRule="auto"/>
        <w:ind w:firstLine="570"/>
        <w:rPr>
          <w:rFonts w:hint="eastAsia" w:ascii="宋体" w:hAnsi="宋体"/>
          <w:sz w:val="24"/>
          <w:szCs w:val="28"/>
        </w:rPr>
      </w:pP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r>
        <w:rPr>
          <w:rFonts w:hint="eastAsia" w:ascii="宋体" w:hAnsi="宋体"/>
          <w:sz w:val="24"/>
        </w:rPr>
        <w:t>（附：被授权人身份证正反面复印件）</w:t>
      </w:r>
    </w:p>
    <w:p>
      <w:pPr>
        <w:tabs>
          <w:tab w:val="left" w:pos="6300"/>
        </w:tabs>
        <w:snapToGrid w:val="0"/>
        <w:spacing w:line="276" w:lineRule="auto"/>
        <w:ind w:firstLine="570"/>
        <w:rPr>
          <w:rFonts w:hint="eastAsia" w:ascii="宋体" w:hAnsi="宋体"/>
          <w:sz w:val="24"/>
        </w:rPr>
      </w:pPr>
      <w:r>
        <w:rPr>
          <w:rFonts w:hint="eastAsia" w:ascii="宋体" w:hAnsi="宋体"/>
          <w:sz w:val="24"/>
        </w:rPr>
        <w:t xml:space="preserve">                                          </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right="480" w:firstLine="570"/>
        <w:jc w:val="right"/>
        <w:rPr>
          <w:rFonts w:hint="eastAsia" w:ascii="宋体" w:hAnsi="宋体"/>
          <w:sz w:val="24"/>
        </w:rPr>
      </w:pPr>
      <w:r>
        <w:rPr>
          <w:rFonts w:hint="eastAsia" w:ascii="宋体" w:hAnsi="宋体"/>
          <w:sz w:val="24"/>
        </w:rPr>
        <w:t>（供应商公章）</w:t>
      </w:r>
    </w:p>
    <w:p>
      <w:pPr>
        <w:tabs>
          <w:tab w:val="left" w:pos="6300"/>
        </w:tabs>
        <w:snapToGrid w:val="0"/>
        <w:spacing w:line="276" w:lineRule="auto"/>
        <w:ind w:right="480" w:firstLine="570"/>
        <w:jc w:val="right"/>
        <w:rPr>
          <w:rFonts w:hint="eastAsia" w:ascii="宋体" w:hAnsi="宋体"/>
          <w:sz w:val="24"/>
        </w:rPr>
      </w:pPr>
      <w:r>
        <w:rPr>
          <w:rFonts w:hint="eastAsia" w:ascii="宋体" w:hAnsi="宋体"/>
          <w:sz w:val="24"/>
        </w:rPr>
        <w:t>年   月   日</w:t>
      </w:r>
    </w:p>
    <w:p>
      <w:pPr>
        <w:tabs>
          <w:tab w:val="left" w:pos="6300"/>
        </w:tabs>
        <w:snapToGrid w:val="0"/>
        <w:spacing w:line="276" w:lineRule="auto"/>
        <w:rPr>
          <w:rFonts w:hint="eastAsia" w:ascii="宋体" w:hAnsi="宋体"/>
        </w:rPr>
      </w:pPr>
    </w:p>
    <w:p>
      <w:pPr>
        <w:tabs>
          <w:tab w:val="left" w:pos="6300"/>
        </w:tabs>
        <w:snapToGrid w:val="0"/>
        <w:spacing w:line="276" w:lineRule="auto"/>
        <w:rPr>
          <w:rFonts w:hint="eastAsia" w:ascii="宋体" w:hAnsi="宋体"/>
        </w:rPr>
      </w:pPr>
    </w:p>
    <w:p>
      <w:pPr>
        <w:tabs>
          <w:tab w:val="left" w:pos="6300"/>
        </w:tabs>
        <w:snapToGrid w:val="0"/>
        <w:spacing w:line="276" w:lineRule="auto"/>
        <w:rPr>
          <w:rFonts w:hint="eastAsia" w:ascii="宋体" w:hAnsi="宋体"/>
        </w:rPr>
      </w:pPr>
    </w:p>
    <w:p>
      <w:pPr>
        <w:tabs>
          <w:tab w:val="left" w:pos="6300"/>
        </w:tabs>
        <w:snapToGrid w:val="0"/>
        <w:spacing w:line="276" w:lineRule="auto"/>
        <w:rPr>
          <w:rFonts w:hint="eastAsia" w:ascii="宋体" w:hAnsi="宋体"/>
          <w:sz w:val="24"/>
        </w:rPr>
      </w:pPr>
      <w:r>
        <w:rPr>
          <w:rFonts w:hint="eastAsia" w:ascii="宋体" w:hAnsi="宋体"/>
        </w:rPr>
        <w:br w:type="column"/>
      </w:r>
      <w:r>
        <w:rPr>
          <w:rFonts w:hint="eastAsia" w:ascii="宋体" w:hAnsi="宋体"/>
        </w:rPr>
        <w:t>（六）书面声明</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480" w:firstLineChars="200"/>
        <w:rPr>
          <w:rFonts w:hint="eastAsia"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276" w:lineRule="auto"/>
        <w:ind w:firstLine="570"/>
        <w:rPr>
          <w:rFonts w:hint="eastAsia" w:ascii="宋体" w:hAnsi="宋体"/>
          <w:sz w:val="24"/>
        </w:rPr>
      </w:pPr>
    </w:p>
    <w:p>
      <w:pPr>
        <w:tabs>
          <w:tab w:val="left" w:pos="6300"/>
        </w:tabs>
        <w:snapToGrid w:val="0"/>
        <w:spacing w:line="276" w:lineRule="auto"/>
        <w:ind w:firstLine="420" w:firstLineChars="200"/>
        <w:rPr>
          <w:rFonts w:hint="eastAsia" w:ascii="宋体" w:hAnsi="宋体"/>
          <w:sz w:val="21"/>
          <w:szCs w:val="21"/>
        </w:rPr>
      </w:pPr>
      <w:r>
        <w:rPr>
          <w:rFonts w:hint="eastAsia" w:ascii="宋体" w:hAnsi="宋体"/>
          <w:sz w:val="21"/>
          <w:szCs w:val="21"/>
        </w:rPr>
        <w:t>致：采购人</w:t>
      </w:r>
    </w:p>
    <w:p>
      <w:pPr>
        <w:tabs>
          <w:tab w:val="left" w:pos="6300"/>
        </w:tabs>
        <w:snapToGrid w:val="0"/>
        <w:spacing w:line="276" w:lineRule="auto"/>
        <w:ind w:firstLine="420" w:firstLineChars="200"/>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投标人名称）郑重声明，我公司具有良好的商业信誉，具有履行合同所必需的设备和专业技术能力，有依法缴纳税收和社会保障资金的良好记录，参加本项目采购活动前三年内无重大违法活动记录，符合《中华人民共和国政府采购法》第二十二条规定条件，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276" w:lineRule="auto"/>
        <w:ind w:firstLine="420" w:firstLineChars="200"/>
        <w:rPr>
          <w:rFonts w:hint="eastAsia" w:ascii="宋体" w:hAnsi="宋体"/>
          <w:sz w:val="21"/>
          <w:szCs w:val="21"/>
        </w:rPr>
      </w:pPr>
    </w:p>
    <w:p>
      <w:pPr>
        <w:tabs>
          <w:tab w:val="left" w:pos="6300"/>
        </w:tabs>
        <w:snapToGrid w:val="0"/>
        <w:spacing w:line="276" w:lineRule="auto"/>
        <w:ind w:firstLine="420" w:firstLineChars="200"/>
        <w:rPr>
          <w:rFonts w:hint="eastAsia" w:ascii="宋体" w:hAnsi="宋体"/>
          <w:sz w:val="21"/>
          <w:szCs w:val="21"/>
        </w:rPr>
      </w:pPr>
      <w:r>
        <w:rPr>
          <w:rFonts w:hint="eastAsia" w:ascii="宋体" w:hAnsi="宋体"/>
          <w:sz w:val="21"/>
          <w:szCs w:val="21"/>
        </w:rPr>
        <w:t>特此声明。</w:t>
      </w:r>
    </w:p>
    <w:p>
      <w:pPr>
        <w:tabs>
          <w:tab w:val="left" w:pos="6300"/>
        </w:tabs>
        <w:snapToGrid w:val="0"/>
        <w:spacing w:line="276" w:lineRule="auto"/>
        <w:ind w:firstLine="570"/>
        <w:rPr>
          <w:rFonts w:hint="eastAsia" w:ascii="宋体" w:hAnsi="宋体"/>
          <w:sz w:val="21"/>
          <w:szCs w:val="21"/>
        </w:rPr>
      </w:pPr>
    </w:p>
    <w:p>
      <w:pPr>
        <w:tabs>
          <w:tab w:val="left" w:pos="6300"/>
        </w:tabs>
        <w:snapToGrid w:val="0"/>
        <w:spacing w:line="276" w:lineRule="auto"/>
        <w:ind w:firstLine="570"/>
        <w:rPr>
          <w:rFonts w:hint="eastAsia" w:ascii="宋体" w:hAnsi="宋体"/>
          <w:sz w:val="21"/>
          <w:szCs w:val="21"/>
        </w:rPr>
      </w:pPr>
    </w:p>
    <w:p>
      <w:pPr>
        <w:tabs>
          <w:tab w:val="left" w:pos="6300"/>
        </w:tabs>
        <w:snapToGrid w:val="0"/>
        <w:spacing w:line="276" w:lineRule="auto"/>
        <w:ind w:firstLine="570"/>
        <w:rPr>
          <w:rFonts w:hint="eastAsia" w:ascii="宋体" w:hAnsi="宋体"/>
          <w:sz w:val="21"/>
          <w:szCs w:val="21"/>
        </w:rPr>
      </w:pPr>
    </w:p>
    <w:p>
      <w:pPr>
        <w:tabs>
          <w:tab w:val="left" w:pos="6300"/>
        </w:tabs>
        <w:snapToGrid w:val="0"/>
        <w:spacing w:line="276" w:lineRule="auto"/>
        <w:ind w:right="424" w:firstLine="570"/>
        <w:jc w:val="right"/>
        <w:rPr>
          <w:rFonts w:hint="eastAsia" w:ascii="宋体" w:hAnsi="宋体"/>
          <w:sz w:val="21"/>
          <w:szCs w:val="21"/>
        </w:rPr>
      </w:pPr>
      <w:r>
        <w:rPr>
          <w:rFonts w:hint="eastAsia" w:ascii="宋体" w:hAnsi="宋体"/>
          <w:sz w:val="21"/>
          <w:szCs w:val="21"/>
        </w:rPr>
        <w:t>（投标人公章）</w:t>
      </w:r>
    </w:p>
    <w:p>
      <w:pPr>
        <w:tabs>
          <w:tab w:val="left" w:pos="6300"/>
        </w:tabs>
        <w:snapToGrid w:val="0"/>
        <w:spacing w:line="276" w:lineRule="auto"/>
        <w:ind w:right="480" w:firstLine="570"/>
        <w:jc w:val="right"/>
        <w:rPr>
          <w:rFonts w:hint="eastAsia" w:ascii="宋体" w:hAnsi="宋体"/>
          <w:sz w:val="21"/>
          <w:szCs w:val="21"/>
        </w:rPr>
      </w:pPr>
      <w:r>
        <w:rPr>
          <w:rFonts w:hint="eastAsia" w:ascii="宋体" w:hAnsi="宋体"/>
          <w:sz w:val="21"/>
          <w:szCs w:val="21"/>
        </w:rPr>
        <w:t>年   月   日</w:t>
      </w:r>
    </w:p>
    <w:p>
      <w:pPr>
        <w:tabs>
          <w:tab w:val="left" w:pos="6300"/>
        </w:tabs>
        <w:snapToGrid w:val="0"/>
        <w:spacing w:line="276" w:lineRule="auto"/>
        <w:ind w:firstLine="560" w:firstLineChars="200"/>
        <w:rPr>
          <w:rFonts w:hint="eastAsia" w:ascii="宋体" w:hAnsi="宋体"/>
        </w:rPr>
      </w:pPr>
    </w:p>
    <w:p>
      <w:pPr>
        <w:tabs>
          <w:tab w:val="left" w:pos="6300"/>
        </w:tabs>
        <w:snapToGrid w:val="0"/>
        <w:spacing w:line="276" w:lineRule="auto"/>
        <w:rPr>
          <w:rFonts w:hint="eastAsia" w:ascii="宋体" w:hAnsi="宋体"/>
        </w:rPr>
      </w:pPr>
      <w:r>
        <w:rPr>
          <w:rFonts w:hint="eastAsia" w:ascii="宋体" w:hAnsi="宋体"/>
        </w:rPr>
        <w:t xml:space="preserve">    （七）税务登记证（副本）复印件和社会保险缴纳证明材料</w:t>
      </w:r>
    </w:p>
    <w:p>
      <w:pPr>
        <w:tabs>
          <w:tab w:val="left" w:pos="6300"/>
        </w:tabs>
        <w:snapToGrid w:val="0"/>
        <w:spacing w:line="276" w:lineRule="auto"/>
        <w:ind w:firstLine="560" w:firstLineChars="200"/>
        <w:rPr>
          <w:rFonts w:hint="eastAsia" w:ascii="宋体" w:hAnsi="宋体"/>
        </w:rPr>
      </w:pPr>
      <w:r>
        <w:rPr>
          <w:rFonts w:hint="eastAsia" w:ascii="宋体" w:hAnsi="宋体"/>
        </w:rPr>
        <w:t>（八）特定资格条件证书或证明文件</w:t>
      </w:r>
    </w:p>
    <w:p>
      <w:pPr>
        <w:tabs>
          <w:tab w:val="left" w:pos="6300"/>
        </w:tabs>
        <w:snapToGrid w:val="0"/>
        <w:spacing w:line="276" w:lineRule="auto"/>
        <w:ind w:firstLine="560" w:firstLineChars="200"/>
        <w:rPr>
          <w:rFonts w:hint="eastAsia" w:ascii="宋体" w:hAnsi="宋体"/>
          <w:sz w:val="24"/>
        </w:rPr>
      </w:pPr>
      <w:r>
        <w:rPr>
          <w:rFonts w:hint="eastAsia" w:ascii="宋体" w:hAnsi="宋体"/>
        </w:rPr>
        <w:t>说明：供应商按“三证合一”登记制度办理营业执照的，组织机构代码证和税务登记证以供应商所提供的营业执照（副本）复印件为准。</w:t>
      </w:r>
    </w:p>
    <w:p>
      <w:pPr>
        <w:pStyle w:val="4"/>
        <w:pageBreakBefore/>
        <w:spacing w:line="276" w:lineRule="auto"/>
        <w:rPr>
          <w:rFonts w:hint="eastAsia"/>
          <w:b/>
          <w:szCs w:val="28"/>
        </w:rPr>
      </w:pPr>
      <w:bookmarkStart w:id="66" w:name="_Toc441065696"/>
      <w:bookmarkStart w:id="67" w:name="_Toc429584886"/>
      <w:bookmarkStart w:id="68" w:name="_Toc25148"/>
      <w:r>
        <w:rPr>
          <w:rFonts w:hint="eastAsia"/>
          <w:b/>
          <w:szCs w:val="28"/>
        </w:rPr>
        <w:t>三、服务响应文件</w:t>
      </w:r>
      <w:bookmarkEnd w:id="66"/>
      <w:bookmarkEnd w:id="67"/>
      <w:bookmarkEnd w:id="68"/>
    </w:p>
    <w:p>
      <w:pPr>
        <w:snapToGrid w:val="0"/>
        <w:spacing w:line="276" w:lineRule="auto"/>
        <w:ind w:left="241" w:leftChars="86"/>
        <w:rPr>
          <w:rFonts w:hint="eastAsia" w:ascii="宋体" w:hAnsi="宋体"/>
          <w:sz w:val="24"/>
          <w:szCs w:val="24"/>
        </w:rPr>
      </w:pPr>
      <w:r>
        <w:rPr>
          <w:rFonts w:hint="eastAsia" w:ascii="宋体" w:hAnsi="宋体"/>
          <w:szCs w:val="24"/>
        </w:rPr>
        <w:t>（一）服务具体方案</w:t>
      </w:r>
    </w:p>
    <w:p>
      <w:pPr>
        <w:widowControl/>
        <w:spacing w:line="276" w:lineRule="auto"/>
        <w:jc w:val="left"/>
        <w:rPr>
          <w:rFonts w:hint="eastAsia" w:ascii="宋体" w:hAnsi="宋体"/>
        </w:rPr>
      </w:pPr>
      <w:r>
        <w:rPr>
          <w:rFonts w:hint="eastAsia" w:ascii="宋体" w:hAnsi="宋体"/>
          <w:szCs w:val="24"/>
        </w:rPr>
        <w:t xml:space="preserve">  </w:t>
      </w:r>
      <w:r>
        <w:rPr>
          <w:rFonts w:hint="eastAsia" w:ascii="宋体" w:hAnsi="宋体"/>
          <w:sz w:val="24"/>
        </w:rPr>
        <w:t>依据磋商文件第二篇的服务具体要求，采购人自行制定服务具体方案。</w:t>
      </w:r>
      <w:r>
        <w:rPr>
          <w:rFonts w:hint="eastAsia" w:ascii="宋体" w:hAnsi="宋体"/>
          <w:szCs w:val="44"/>
        </w:rPr>
        <w:br w:type="page"/>
      </w:r>
      <w:r>
        <w:rPr>
          <w:rFonts w:hint="eastAsia" w:ascii="宋体" w:hAnsi="宋体"/>
          <w:szCs w:val="28"/>
        </w:rPr>
        <w:t>（二）商务承诺</w:t>
      </w:r>
    </w:p>
    <w:p>
      <w:pPr>
        <w:spacing w:line="276" w:lineRule="auto"/>
        <w:rPr>
          <w:rFonts w:hint="eastAsia" w:ascii="宋体" w:hAnsi="宋体"/>
        </w:rPr>
      </w:pPr>
      <w:r>
        <w:rPr>
          <w:rFonts w:hint="eastAsia" w:ascii="宋体" w:hAnsi="宋体"/>
        </w:rPr>
        <w:t>2.1付款方式；</w:t>
      </w:r>
    </w:p>
    <w:p>
      <w:pPr>
        <w:spacing w:line="276" w:lineRule="auto"/>
        <w:rPr>
          <w:rFonts w:hint="eastAsia" w:ascii="宋体" w:hAnsi="宋体"/>
        </w:rPr>
      </w:pPr>
      <w:r>
        <w:rPr>
          <w:rFonts w:hint="eastAsia" w:ascii="宋体" w:hAnsi="宋体"/>
        </w:rPr>
        <w:t>2.2售后服务能力情况；</w:t>
      </w:r>
    </w:p>
    <w:p>
      <w:pPr>
        <w:spacing w:line="276" w:lineRule="auto"/>
        <w:rPr>
          <w:rFonts w:hint="eastAsia" w:ascii="宋体" w:hAnsi="宋体"/>
        </w:rPr>
      </w:pPr>
      <w:r>
        <w:rPr>
          <w:rFonts w:hint="eastAsia" w:ascii="宋体" w:hAnsi="宋体"/>
        </w:rPr>
        <w:t>2.3培训；</w:t>
      </w:r>
    </w:p>
    <w:p>
      <w:pPr>
        <w:spacing w:line="276" w:lineRule="auto"/>
        <w:rPr>
          <w:rFonts w:hint="eastAsia" w:ascii="宋体" w:hAnsi="宋体"/>
        </w:rPr>
      </w:pPr>
      <w:r>
        <w:rPr>
          <w:rFonts w:hint="eastAsia" w:ascii="宋体" w:hAnsi="宋体"/>
        </w:rPr>
        <w:t>2.4业绩。</w:t>
      </w:r>
    </w:p>
    <w:p>
      <w:pPr>
        <w:tabs>
          <w:tab w:val="left" w:pos="6300"/>
        </w:tabs>
        <w:snapToGrid w:val="0"/>
        <w:spacing w:line="276" w:lineRule="auto"/>
        <w:rPr>
          <w:rFonts w:hint="eastAsia" w:ascii="宋体" w:hAnsi="宋体"/>
          <w:sz w:val="24"/>
          <w:szCs w:val="24"/>
        </w:rPr>
      </w:pPr>
    </w:p>
    <w:p>
      <w:pPr>
        <w:tabs>
          <w:tab w:val="left" w:pos="6300"/>
        </w:tabs>
        <w:snapToGrid w:val="0"/>
        <w:spacing w:line="276" w:lineRule="auto"/>
        <w:rPr>
          <w:rFonts w:hint="eastAsia" w:ascii="宋体" w:hAnsi="宋体"/>
          <w:szCs w:val="24"/>
        </w:rPr>
      </w:pPr>
    </w:p>
    <w:p>
      <w:pPr>
        <w:tabs>
          <w:tab w:val="left" w:pos="6300"/>
        </w:tabs>
        <w:snapToGrid w:val="0"/>
        <w:spacing w:line="276" w:lineRule="auto"/>
        <w:ind w:firstLine="570"/>
        <w:rPr>
          <w:rFonts w:hint="eastAsia" w:ascii="宋体" w:hAnsi="宋体"/>
          <w:szCs w:val="24"/>
        </w:rPr>
      </w:pPr>
      <w:r>
        <w:rPr>
          <w:rFonts w:hint="eastAsia" w:ascii="宋体" w:hAnsi="宋体"/>
          <w:szCs w:val="24"/>
        </w:rPr>
        <w:br w:type="page"/>
      </w:r>
      <w:r>
        <w:rPr>
          <w:rFonts w:hint="eastAsia" w:ascii="宋体" w:hAnsi="宋体"/>
          <w:szCs w:val="24"/>
        </w:rPr>
        <w:t>（三）服务响应条款差异表</w:t>
      </w:r>
    </w:p>
    <w:p>
      <w:pPr>
        <w:spacing w:line="276" w:lineRule="auto"/>
        <w:rPr>
          <w:rFonts w:hint="eastAsia" w:ascii="宋体" w:hAnsi="宋体"/>
        </w:rPr>
      </w:pPr>
      <w:r>
        <w:rPr>
          <w:rFonts w:hint="eastAsia" w:ascii="宋体" w:hAnsi="宋体"/>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r>
              <w:rPr>
                <w:rFonts w:hint="eastAsia" w:ascii="宋体" w:hAnsi="宋体"/>
                <w:sz w:val="21"/>
                <w:szCs w:val="21"/>
              </w:rPr>
              <w:t>序号</w:t>
            </w: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r>
              <w:rPr>
                <w:rFonts w:hint="eastAsia" w:ascii="宋体" w:hAnsi="宋体"/>
                <w:sz w:val="21"/>
                <w:szCs w:val="21"/>
              </w:rPr>
              <w:t>磋商文件要求</w:t>
            </w: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r>
              <w:rPr>
                <w:rFonts w:hint="eastAsia" w:ascii="宋体" w:hAnsi="宋体"/>
                <w:sz w:val="21"/>
                <w:szCs w:val="21"/>
              </w:rPr>
              <w:t>应答情况</w:t>
            </w: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sz w:val="21"/>
                <w:szCs w:val="21"/>
              </w:rPr>
            </w:pPr>
          </w:p>
        </w:tc>
      </w:tr>
    </w:tbl>
    <w:p>
      <w:pPr>
        <w:spacing w:line="276" w:lineRule="auto"/>
        <w:ind w:firstLine="600" w:firstLineChars="250"/>
        <w:rPr>
          <w:rFonts w:hint="eastAsia" w:ascii="宋体" w:hAnsi="宋体"/>
          <w:sz w:val="24"/>
          <w:szCs w:val="28"/>
        </w:rPr>
      </w:pPr>
      <w:r>
        <w:rPr>
          <w:rFonts w:hint="eastAsia" w:ascii="宋体" w:hAnsi="宋体"/>
          <w:sz w:val="24"/>
          <w:szCs w:val="28"/>
        </w:rPr>
        <w:t>供应商：                                  法定代表人授权代表：</w:t>
      </w:r>
    </w:p>
    <w:p>
      <w:pPr>
        <w:spacing w:line="276" w:lineRule="auto"/>
        <w:rPr>
          <w:rFonts w:hint="eastAsia" w:ascii="宋体" w:hAnsi="宋体"/>
          <w:sz w:val="24"/>
          <w:szCs w:val="28"/>
        </w:rPr>
      </w:pPr>
      <w:r>
        <w:rPr>
          <w:rFonts w:hint="eastAsia" w:ascii="宋体" w:hAnsi="宋体"/>
          <w:sz w:val="24"/>
          <w:szCs w:val="28"/>
        </w:rPr>
        <w:t xml:space="preserve">    </w:t>
      </w:r>
    </w:p>
    <w:p>
      <w:pPr>
        <w:spacing w:line="276"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76"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76" w:lineRule="auto"/>
        <w:ind w:firstLine="570"/>
        <w:rPr>
          <w:rFonts w:hint="eastAsia" w:ascii="宋体" w:hAnsi="宋体"/>
          <w:sz w:val="24"/>
        </w:rPr>
      </w:pPr>
      <w:r>
        <w:rPr>
          <w:rFonts w:hint="eastAsia" w:ascii="宋体" w:hAnsi="宋体"/>
          <w:sz w:val="24"/>
        </w:rPr>
        <w:t>注：</w:t>
      </w:r>
    </w:p>
    <w:p>
      <w:pPr>
        <w:tabs>
          <w:tab w:val="left" w:pos="6300"/>
        </w:tabs>
        <w:snapToGrid w:val="0"/>
        <w:spacing w:line="276" w:lineRule="auto"/>
        <w:ind w:firstLine="570"/>
        <w:rPr>
          <w:rFonts w:hint="eastAsia" w:ascii="宋体" w:hAnsi="宋体"/>
          <w:sz w:val="24"/>
          <w:szCs w:val="24"/>
        </w:rPr>
      </w:pPr>
      <w:r>
        <w:rPr>
          <w:rFonts w:hint="eastAsia" w:ascii="宋体" w:hAnsi="宋体"/>
          <w:sz w:val="24"/>
          <w:szCs w:val="24"/>
        </w:rPr>
        <w:t>1、本表即为对本项目“第二篇 项目具体要求 ”中所列要求进行比较和响应；</w:t>
      </w:r>
    </w:p>
    <w:p>
      <w:pPr>
        <w:tabs>
          <w:tab w:val="left" w:pos="6300"/>
        </w:tabs>
        <w:snapToGrid w:val="0"/>
        <w:spacing w:line="276" w:lineRule="auto"/>
        <w:ind w:firstLine="570"/>
        <w:rPr>
          <w:rFonts w:hint="eastAsia" w:ascii="宋体" w:hAnsi="宋体"/>
          <w:sz w:val="24"/>
          <w:szCs w:val="24"/>
        </w:rPr>
      </w:pPr>
      <w:r>
        <w:rPr>
          <w:rFonts w:hint="eastAsia" w:ascii="宋体" w:hAnsi="宋体"/>
          <w:sz w:val="24"/>
          <w:szCs w:val="24"/>
        </w:rPr>
        <w:t>2、该表必须按照磋商文件要求逐条如实填写，根据情况在“差异说明”项填写正偏离或负偏离及原因，完全符合的填写“无差异”；</w:t>
      </w:r>
    </w:p>
    <w:p>
      <w:pPr>
        <w:tabs>
          <w:tab w:val="left" w:pos="6300"/>
        </w:tabs>
        <w:snapToGrid w:val="0"/>
        <w:spacing w:line="276" w:lineRule="auto"/>
        <w:ind w:firstLine="570"/>
        <w:rPr>
          <w:rFonts w:hint="eastAsia" w:ascii="宋体" w:hAnsi="宋体"/>
          <w:sz w:val="24"/>
          <w:szCs w:val="24"/>
        </w:rPr>
      </w:pPr>
      <w:r>
        <w:rPr>
          <w:rFonts w:hint="eastAsia" w:ascii="宋体" w:hAnsi="宋体"/>
          <w:sz w:val="24"/>
          <w:szCs w:val="24"/>
        </w:rPr>
        <w:t>3、该表可扩展；</w:t>
      </w:r>
    </w:p>
    <w:p>
      <w:pPr>
        <w:tabs>
          <w:tab w:val="left" w:pos="6300"/>
        </w:tabs>
        <w:snapToGrid w:val="0"/>
        <w:spacing w:line="276" w:lineRule="auto"/>
        <w:ind w:firstLine="570"/>
        <w:rPr>
          <w:rFonts w:hint="eastAsia" w:ascii="宋体" w:hAnsi="宋体"/>
          <w:sz w:val="24"/>
          <w:szCs w:val="24"/>
        </w:rPr>
      </w:pPr>
      <w:r>
        <w:rPr>
          <w:rFonts w:hint="eastAsia" w:ascii="宋体" w:hAnsi="宋体"/>
          <w:sz w:val="24"/>
          <w:szCs w:val="24"/>
        </w:rPr>
        <w:t>4、可附相关技术支撑材料。（格式自定）</w:t>
      </w:r>
    </w:p>
    <w:p>
      <w:pPr>
        <w:tabs>
          <w:tab w:val="left" w:pos="6300"/>
        </w:tabs>
        <w:snapToGrid w:val="0"/>
        <w:spacing w:line="276" w:lineRule="auto"/>
        <w:ind w:firstLine="570"/>
        <w:rPr>
          <w:rFonts w:hint="eastAsia" w:ascii="宋体" w:hAnsi="宋体"/>
          <w:sz w:val="24"/>
          <w:szCs w:val="24"/>
        </w:rPr>
      </w:pPr>
    </w:p>
    <w:p>
      <w:pPr>
        <w:spacing w:line="276" w:lineRule="auto"/>
        <w:rPr>
          <w:rFonts w:hint="eastAsia" w:ascii="宋体" w:hAnsi="宋体"/>
        </w:rPr>
      </w:pPr>
    </w:p>
    <w:p>
      <w:pPr>
        <w:spacing w:line="276" w:lineRule="auto"/>
        <w:rPr>
          <w:rFonts w:hint="eastAsia" w:ascii="宋体" w:hAnsi="宋体"/>
        </w:rPr>
      </w:pPr>
    </w:p>
    <w:p>
      <w:pPr>
        <w:pStyle w:val="4"/>
        <w:pageBreakBefore/>
        <w:spacing w:line="276" w:lineRule="auto"/>
        <w:rPr>
          <w:rFonts w:hint="eastAsia"/>
          <w:b/>
          <w:szCs w:val="28"/>
        </w:rPr>
      </w:pPr>
      <w:bookmarkStart w:id="69" w:name="_Toc441065698"/>
      <w:bookmarkStart w:id="70" w:name="_Toc429584888"/>
      <w:bookmarkStart w:id="71" w:name="_Toc27250"/>
      <w:r>
        <w:rPr>
          <w:rFonts w:hint="eastAsia"/>
          <w:b/>
          <w:szCs w:val="28"/>
        </w:rPr>
        <w:t>四、其他</w:t>
      </w:r>
      <w:bookmarkEnd w:id="69"/>
      <w:bookmarkEnd w:id="70"/>
      <w:bookmarkEnd w:id="71"/>
    </w:p>
    <w:p>
      <w:pPr>
        <w:tabs>
          <w:tab w:val="left" w:pos="6300"/>
        </w:tabs>
        <w:snapToGrid w:val="0"/>
        <w:spacing w:line="276" w:lineRule="auto"/>
        <w:ind w:firstLine="560"/>
        <w:jc w:val="left"/>
        <w:rPr>
          <w:rFonts w:hint="eastAsia" w:ascii="宋体" w:hAnsi="宋体"/>
          <w:sz w:val="21"/>
          <w:szCs w:val="21"/>
        </w:rPr>
      </w:pPr>
      <w:r>
        <w:rPr>
          <w:rFonts w:hint="eastAsia" w:ascii="宋体" w:hAnsi="宋体"/>
          <w:sz w:val="21"/>
          <w:szCs w:val="21"/>
        </w:rPr>
        <w:t>（一）供应商中小微企业声明函、残疾人福利性单位声明函</w:t>
      </w:r>
    </w:p>
    <w:p>
      <w:pPr>
        <w:spacing w:line="276" w:lineRule="auto"/>
        <w:rPr>
          <w:rFonts w:hint="eastAsia" w:ascii="宋体" w:hAnsi="宋体"/>
          <w:sz w:val="24"/>
          <w:szCs w:val="24"/>
        </w:rPr>
      </w:pPr>
      <w:r>
        <w:rPr>
          <w:rFonts w:hint="eastAsia" w:ascii="宋体" w:hAnsi="宋体"/>
          <w:sz w:val="24"/>
          <w:szCs w:val="24"/>
        </w:rPr>
        <w:t>1.中小微企业声明函</w:t>
      </w:r>
    </w:p>
    <w:p>
      <w:pPr>
        <w:spacing w:line="276" w:lineRule="auto"/>
        <w:rPr>
          <w:rFonts w:hint="eastAsia" w:ascii="宋体" w:hAnsi="宋体"/>
          <w:sz w:val="24"/>
          <w:szCs w:val="24"/>
          <w:u w:val="single"/>
        </w:rPr>
      </w:pPr>
      <w:r>
        <w:rPr>
          <w:rFonts w:hint="eastAsia" w:ascii="宋体" w:hAnsi="宋体"/>
          <w:sz w:val="24"/>
          <w:szCs w:val="24"/>
        </w:rPr>
        <w:t xml:space="preserve">项目名称: </w:t>
      </w:r>
      <w:r>
        <w:rPr>
          <w:rFonts w:hint="eastAsia" w:ascii="宋体" w:hAnsi="宋体"/>
          <w:sz w:val="24"/>
          <w:szCs w:val="24"/>
          <w:u w:val="single"/>
        </w:rPr>
        <w:t xml:space="preserve">                                </w:t>
      </w:r>
    </w:p>
    <w:p>
      <w:pPr>
        <w:spacing w:line="276" w:lineRule="auto"/>
        <w:rPr>
          <w:rFonts w:hint="eastAsia" w:ascii="宋体" w:hAnsi="宋体"/>
          <w:sz w:val="24"/>
          <w:szCs w:val="24"/>
        </w:rPr>
      </w:pPr>
      <w:r>
        <w:rPr>
          <w:rFonts w:hint="eastAsia" w:ascii="宋体" w:hAnsi="宋体"/>
          <w:sz w:val="24"/>
          <w:szCs w:val="24"/>
        </w:rPr>
        <w:t xml:space="preserve">致: </w:t>
      </w:r>
      <w:r>
        <w:rPr>
          <w:rFonts w:hint="eastAsia" w:ascii="宋体" w:hAnsi="宋体"/>
          <w:sz w:val="24"/>
          <w:szCs w:val="24"/>
          <w:u w:val="single"/>
        </w:rPr>
        <w:t xml:space="preserve">                                     </w:t>
      </w:r>
      <w:r>
        <w:rPr>
          <w:rFonts w:hint="eastAsia" w:ascii="宋体" w:hAnsi="宋体"/>
          <w:sz w:val="24"/>
          <w:szCs w:val="24"/>
        </w:rPr>
        <w:t>(采购人名称)</w:t>
      </w:r>
    </w:p>
    <w:p>
      <w:pPr>
        <w:spacing w:line="276" w:lineRule="auto"/>
        <w:rPr>
          <w:rFonts w:hint="eastAsia" w:ascii="宋体" w:hAnsi="宋体"/>
          <w:sz w:val="24"/>
          <w:szCs w:val="24"/>
        </w:rPr>
      </w:pPr>
      <w:r>
        <w:rPr>
          <w:rFonts w:hint="eastAsia" w:ascii="宋体" w:hAnsi="宋体"/>
          <w:sz w:val="24"/>
          <w:szCs w:val="24"/>
        </w:rPr>
        <w:t>本企业郑重声明，根据《政府采购促进中小企业发展暂行办法》(财库【2011】181号)的规定，本企业为</w:t>
      </w:r>
      <w:r>
        <w:rPr>
          <w:rFonts w:hint="eastAsia" w:ascii="宋体" w:hAnsi="宋体"/>
          <w:sz w:val="24"/>
          <w:szCs w:val="24"/>
          <w:u w:val="single"/>
        </w:rPr>
        <w:t xml:space="preserve">                 </w:t>
      </w:r>
      <w:r>
        <w:rPr>
          <w:rFonts w:hint="eastAsia" w:ascii="宋体" w:hAnsi="宋体"/>
          <w:sz w:val="24"/>
          <w:szCs w:val="24"/>
        </w:rPr>
        <w:t>(请填写:中型、小型、微型)企业。即，本企业同时满足以下条件:</w:t>
      </w:r>
    </w:p>
    <w:p>
      <w:pPr>
        <w:spacing w:line="276" w:lineRule="auto"/>
        <w:rPr>
          <w:rFonts w:hint="eastAsia" w:ascii="宋体" w:hAnsi="宋体"/>
          <w:sz w:val="24"/>
          <w:szCs w:val="24"/>
        </w:rPr>
      </w:pPr>
      <w:r>
        <w:rPr>
          <w:rFonts w:hint="eastAsia" w:ascii="宋体" w:hAnsi="宋体"/>
          <w:sz w:val="24"/>
          <w:szCs w:val="24"/>
        </w:rPr>
        <w:t>1.根据《工业和信息化部 国家统计局 国家发展和改革委员会 财政部关于印发中小企业划型标准规定的通知》（工信部联企业【2011】300号)的划分标准，本企业为</w:t>
      </w:r>
      <w:r>
        <w:rPr>
          <w:rFonts w:hint="eastAsia" w:ascii="宋体" w:hAnsi="宋体"/>
          <w:sz w:val="24"/>
          <w:szCs w:val="24"/>
          <w:u w:val="single"/>
        </w:rPr>
        <w:t xml:space="preserve">                 </w:t>
      </w:r>
      <w:r>
        <w:rPr>
          <w:rFonts w:hint="eastAsia" w:ascii="宋体" w:hAnsi="宋体"/>
          <w:sz w:val="24"/>
          <w:szCs w:val="24"/>
        </w:rPr>
        <w:t>行业            (行业类别)的</w:t>
      </w:r>
      <w:r>
        <w:rPr>
          <w:rFonts w:hint="eastAsia" w:ascii="宋体" w:hAnsi="宋体"/>
          <w:sz w:val="24"/>
          <w:szCs w:val="24"/>
          <w:u w:val="single"/>
        </w:rPr>
        <w:t xml:space="preserve">               </w:t>
      </w:r>
      <w:r>
        <w:rPr>
          <w:rFonts w:hint="eastAsia" w:ascii="宋体" w:hAnsi="宋体"/>
          <w:sz w:val="24"/>
          <w:szCs w:val="24"/>
        </w:rPr>
        <w:t>(请填写:中型、小型、微型)企业。</w:t>
      </w:r>
    </w:p>
    <w:p>
      <w:pPr>
        <w:spacing w:line="276" w:lineRule="auto"/>
        <w:rPr>
          <w:rFonts w:hint="eastAsia" w:ascii="宋体" w:hAnsi="宋体"/>
          <w:sz w:val="24"/>
          <w:szCs w:val="24"/>
        </w:rPr>
      </w:pPr>
      <w:r>
        <w:rPr>
          <w:rFonts w:hint="eastAsia" w:ascii="宋体" w:hAnsi="宋体"/>
          <w:sz w:val="24"/>
          <w:szCs w:val="24"/>
        </w:rPr>
        <w:t>2.本企业参加本项目提供本企业制造的货物、承担的工程或者服务，或者提供他小微企业制造的货物。</w:t>
      </w:r>
    </w:p>
    <w:p>
      <w:pPr>
        <w:spacing w:line="276" w:lineRule="auto"/>
        <w:rPr>
          <w:rFonts w:hint="eastAsia" w:ascii="宋体" w:hAnsi="宋体"/>
          <w:sz w:val="24"/>
          <w:szCs w:val="24"/>
        </w:rPr>
      </w:pPr>
      <w:r>
        <w:rPr>
          <w:rFonts w:hint="eastAsia" w:ascii="宋体" w:hAnsi="宋体"/>
          <w:sz w:val="24"/>
          <w:szCs w:val="24"/>
        </w:rPr>
        <w:t>企业基本情况表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625"/>
        <w:gridCol w:w="205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spacing w:line="276" w:lineRule="auto"/>
              <w:rPr>
                <w:rFonts w:hint="eastAsia" w:ascii="宋体" w:hAnsi="宋体"/>
                <w:sz w:val="24"/>
                <w:szCs w:val="24"/>
              </w:rPr>
            </w:pPr>
            <w:r>
              <w:rPr>
                <w:rFonts w:hint="eastAsia" w:ascii="宋体" w:hAnsi="宋体"/>
                <w:sz w:val="24"/>
                <w:szCs w:val="24"/>
              </w:rPr>
              <w:t>行业类别</w:t>
            </w:r>
          </w:p>
        </w:tc>
        <w:tc>
          <w:tcPr>
            <w:tcW w:w="2625" w:type="dxa"/>
            <w:noWrap w:val="0"/>
            <w:vAlign w:val="top"/>
          </w:tcPr>
          <w:p>
            <w:pPr>
              <w:spacing w:line="276" w:lineRule="auto"/>
              <w:rPr>
                <w:rFonts w:hint="eastAsia" w:ascii="宋体" w:hAnsi="宋体"/>
                <w:sz w:val="24"/>
                <w:szCs w:val="24"/>
              </w:rPr>
            </w:pPr>
            <w:r>
              <w:rPr>
                <w:rFonts w:hint="eastAsia" w:ascii="宋体" w:hAnsi="宋体"/>
                <w:sz w:val="24"/>
                <w:szCs w:val="24"/>
              </w:rPr>
              <w:t>营业收入(万元)</w:t>
            </w:r>
          </w:p>
        </w:tc>
        <w:tc>
          <w:tcPr>
            <w:tcW w:w="2055" w:type="dxa"/>
            <w:noWrap w:val="0"/>
            <w:vAlign w:val="top"/>
          </w:tcPr>
          <w:p>
            <w:pPr>
              <w:spacing w:line="276" w:lineRule="auto"/>
              <w:rPr>
                <w:rFonts w:hint="eastAsia" w:ascii="宋体" w:hAnsi="宋体"/>
                <w:sz w:val="24"/>
                <w:szCs w:val="24"/>
              </w:rPr>
            </w:pPr>
            <w:r>
              <w:rPr>
                <w:rFonts w:hint="eastAsia" w:ascii="宋体" w:hAnsi="宋体"/>
                <w:sz w:val="24"/>
                <w:szCs w:val="24"/>
              </w:rPr>
              <w:t>从业人员(人)</w:t>
            </w:r>
          </w:p>
        </w:tc>
        <w:tc>
          <w:tcPr>
            <w:tcW w:w="2385" w:type="dxa"/>
            <w:noWrap w:val="0"/>
            <w:vAlign w:val="top"/>
          </w:tcPr>
          <w:p>
            <w:pPr>
              <w:spacing w:line="276" w:lineRule="auto"/>
              <w:rPr>
                <w:rFonts w:hint="eastAsia" w:ascii="宋体" w:hAnsi="宋体"/>
                <w:sz w:val="24"/>
                <w:szCs w:val="24"/>
              </w:rPr>
            </w:pPr>
            <w:r>
              <w:rPr>
                <w:rFonts w:hint="eastAsia" w:ascii="宋体" w:hAnsi="宋体"/>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spacing w:line="276" w:lineRule="auto"/>
              <w:rPr>
                <w:rFonts w:hint="eastAsia" w:ascii="宋体" w:hAnsi="宋体"/>
                <w:sz w:val="24"/>
                <w:szCs w:val="24"/>
              </w:rPr>
            </w:pPr>
          </w:p>
        </w:tc>
        <w:tc>
          <w:tcPr>
            <w:tcW w:w="2625" w:type="dxa"/>
            <w:noWrap w:val="0"/>
            <w:vAlign w:val="top"/>
          </w:tcPr>
          <w:p>
            <w:pPr>
              <w:spacing w:line="276" w:lineRule="auto"/>
              <w:rPr>
                <w:rFonts w:hint="eastAsia" w:ascii="宋体" w:hAnsi="宋体"/>
                <w:sz w:val="24"/>
                <w:szCs w:val="24"/>
              </w:rPr>
            </w:pPr>
          </w:p>
        </w:tc>
        <w:tc>
          <w:tcPr>
            <w:tcW w:w="2055" w:type="dxa"/>
            <w:noWrap w:val="0"/>
            <w:vAlign w:val="top"/>
          </w:tcPr>
          <w:p>
            <w:pPr>
              <w:spacing w:line="276" w:lineRule="auto"/>
              <w:rPr>
                <w:rFonts w:hint="eastAsia" w:ascii="宋体" w:hAnsi="宋体"/>
                <w:sz w:val="24"/>
                <w:szCs w:val="24"/>
              </w:rPr>
            </w:pPr>
          </w:p>
        </w:tc>
        <w:tc>
          <w:tcPr>
            <w:tcW w:w="2385" w:type="dxa"/>
            <w:noWrap w:val="0"/>
            <w:vAlign w:val="top"/>
          </w:tcPr>
          <w:p>
            <w:pPr>
              <w:spacing w:line="276" w:lineRule="auto"/>
              <w:rPr>
                <w:rFonts w:hint="eastAsia" w:ascii="宋体" w:hAnsi="宋体"/>
                <w:sz w:val="24"/>
                <w:szCs w:val="24"/>
              </w:rPr>
            </w:pPr>
          </w:p>
        </w:tc>
      </w:tr>
    </w:tbl>
    <w:p>
      <w:pPr>
        <w:spacing w:line="276" w:lineRule="auto"/>
        <w:rPr>
          <w:rFonts w:hint="eastAsia" w:ascii="宋体" w:hAnsi="宋体"/>
          <w:sz w:val="24"/>
          <w:szCs w:val="24"/>
        </w:rPr>
      </w:pPr>
      <w:r>
        <w:rPr>
          <w:rFonts w:hint="eastAsia" w:ascii="宋体" w:hAnsi="宋体"/>
          <w:sz w:val="24"/>
          <w:szCs w:val="24"/>
        </w:rPr>
        <w:t>本企业对上述声明的真实性负责。如有虚假，将依法承担相应责任。</w:t>
      </w:r>
    </w:p>
    <w:p>
      <w:pPr>
        <w:spacing w:line="276" w:lineRule="auto"/>
        <w:rPr>
          <w:rFonts w:hint="eastAsia" w:ascii="宋体" w:hAnsi="宋体"/>
          <w:sz w:val="24"/>
          <w:szCs w:val="24"/>
        </w:rPr>
      </w:pPr>
    </w:p>
    <w:p>
      <w:pPr>
        <w:spacing w:line="276" w:lineRule="auto"/>
        <w:rPr>
          <w:rFonts w:hint="eastAsia" w:ascii="宋体" w:hAnsi="宋体"/>
          <w:sz w:val="24"/>
          <w:szCs w:val="24"/>
        </w:rPr>
      </w:pPr>
      <w:r>
        <w:rPr>
          <w:rFonts w:hint="eastAsia" w:ascii="宋体" w:hAnsi="宋体"/>
          <w:sz w:val="24"/>
          <w:szCs w:val="24"/>
        </w:rPr>
        <w:t>供应商名称(公章)：</w:t>
      </w:r>
    </w:p>
    <w:p>
      <w:pPr>
        <w:spacing w:line="276" w:lineRule="auto"/>
        <w:rPr>
          <w:rFonts w:hint="eastAsia" w:ascii="宋体" w:hAnsi="宋体"/>
          <w:sz w:val="24"/>
          <w:szCs w:val="24"/>
        </w:rPr>
      </w:pPr>
      <w:r>
        <w:rPr>
          <w:rFonts w:hint="eastAsia" w:ascii="宋体" w:hAnsi="宋体"/>
          <w:sz w:val="24"/>
          <w:szCs w:val="24"/>
        </w:rPr>
        <w:t>年  月  日</w:t>
      </w:r>
    </w:p>
    <w:p>
      <w:pPr>
        <w:spacing w:line="276" w:lineRule="auto"/>
        <w:rPr>
          <w:rFonts w:hint="eastAsia" w:ascii="宋体" w:hAnsi="宋体"/>
          <w:sz w:val="24"/>
          <w:szCs w:val="24"/>
        </w:rPr>
      </w:pPr>
      <w:r>
        <w:rPr>
          <w:rFonts w:hint="eastAsia" w:ascii="宋体" w:hAnsi="宋体"/>
          <w:sz w:val="24"/>
          <w:szCs w:val="24"/>
        </w:rPr>
        <w:t>填写《企业基本情况表》时，应注意以下事项:</w:t>
      </w:r>
    </w:p>
    <w:p>
      <w:pPr>
        <w:spacing w:line="276" w:lineRule="auto"/>
        <w:rPr>
          <w:rFonts w:hint="eastAsia" w:ascii="宋体" w:hAnsi="宋体"/>
          <w:sz w:val="24"/>
          <w:szCs w:val="24"/>
        </w:rPr>
      </w:pPr>
      <w:r>
        <w:rPr>
          <w:rFonts w:hint="eastAsia" w:ascii="宋体" w:hAnsi="宋体"/>
          <w:sz w:val="24"/>
          <w:szCs w:val="24"/>
        </w:rPr>
        <w:t>1.除建筑业、房地产开发经营、租赁和商务服务业三个行业</w:t>
      </w:r>
    </w:p>
    <w:p>
      <w:pPr>
        <w:spacing w:line="276" w:lineRule="auto"/>
        <w:rPr>
          <w:rFonts w:hint="eastAsia" w:ascii="宋体" w:hAnsi="宋体"/>
          <w:sz w:val="24"/>
          <w:szCs w:val="24"/>
        </w:rPr>
      </w:pPr>
      <w:r>
        <w:rPr>
          <w:rFonts w:hint="eastAsia" w:ascii="宋体" w:hAnsi="宋体"/>
          <w:sz w:val="24"/>
          <w:szCs w:val="24"/>
        </w:rPr>
        <w:t>外，其余行业无需填写资产总额项。</w:t>
      </w:r>
    </w:p>
    <w:p>
      <w:pPr>
        <w:spacing w:line="276" w:lineRule="auto"/>
        <w:rPr>
          <w:rFonts w:hint="eastAsia" w:ascii="宋体" w:hAnsi="宋体"/>
          <w:sz w:val="24"/>
          <w:szCs w:val="24"/>
        </w:rPr>
      </w:pPr>
      <w:r>
        <w:rPr>
          <w:rFonts w:hint="eastAsia" w:ascii="宋体" w:hAnsi="宋体"/>
          <w:sz w:val="24"/>
          <w:szCs w:val="24"/>
        </w:rPr>
        <w:t>2.农、林、牧、渔业无需填写从业人员和资产总额项。</w:t>
      </w:r>
    </w:p>
    <w:p>
      <w:pPr>
        <w:spacing w:line="276" w:lineRule="auto"/>
        <w:rPr>
          <w:rFonts w:hint="eastAsia" w:ascii="宋体" w:hAnsi="宋体"/>
          <w:sz w:val="24"/>
          <w:szCs w:val="24"/>
        </w:rPr>
      </w:pPr>
      <w:r>
        <w:rPr>
          <w:rFonts w:hint="eastAsia" w:ascii="宋体" w:hAnsi="宋体"/>
          <w:sz w:val="24"/>
          <w:szCs w:val="24"/>
        </w:rPr>
        <w:t>3.小微企业投标(供应)的产品若涉及到其他企业制造且符合扶持小微企业政策的，还需提供所涉及的其他企业的《中小微企业声明函》，否则将不被认定为小微企业。</w:t>
      </w:r>
    </w:p>
    <w:p>
      <w:pPr>
        <w:spacing w:line="276" w:lineRule="auto"/>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
      <w:pPr>
        <w:tabs>
          <w:tab w:val="left" w:pos="6300"/>
        </w:tabs>
        <w:snapToGrid w:val="0"/>
        <w:spacing w:line="276" w:lineRule="auto"/>
        <w:ind w:firstLine="420" w:firstLineChars="200"/>
        <w:outlineLvl w:val="0"/>
        <w:rPr>
          <w:rFonts w:hint="eastAsia" w:ascii="宋体" w:hAnsi="宋体"/>
          <w:sz w:val="21"/>
          <w:szCs w:val="21"/>
        </w:rPr>
      </w:pPr>
    </w:p>
    <w:p>
      <w:pPr>
        <w:tabs>
          <w:tab w:val="left" w:pos="6300"/>
        </w:tabs>
        <w:snapToGrid w:val="0"/>
        <w:spacing w:line="276" w:lineRule="auto"/>
        <w:ind w:firstLine="420" w:firstLineChars="200"/>
        <w:outlineLvl w:val="0"/>
        <w:rPr>
          <w:rFonts w:hint="eastAsia" w:ascii="宋体" w:hAnsi="宋体"/>
          <w:sz w:val="21"/>
          <w:szCs w:val="21"/>
        </w:rPr>
      </w:pPr>
    </w:p>
    <w:p>
      <w:pPr>
        <w:spacing w:line="276" w:lineRule="auto"/>
        <w:rPr>
          <w:rFonts w:hint="eastAsia" w:ascii="宋体" w:hAnsi="宋体"/>
        </w:rPr>
      </w:pPr>
      <w:r>
        <w:rPr>
          <w:rFonts w:hint="eastAsia" w:ascii="宋体" w:hAnsi="宋体"/>
        </w:rPr>
        <w:t>2.残疾人福利性单位声明函</w:t>
      </w:r>
    </w:p>
    <w:p>
      <w:pPr>
        <w:spacing w:line="276" w:lineRule="auto"/>
        <w:jc w:val="center"/>
        <w:rPr>
          <w:rFonts w:hint="eastAsia" w:ascii="宋体" w:hAnsi="宋体"/>
        </w:rPr>
      </w:pPr>
      <w:r>
        <w:rPr>
          <w:rFonts w:hint="eastAsia" w:ascii="宋体" w:hAnsi="宋体"/>
        </w:rPr>
        <w:t>残疾人福利性单位声明函</w:t>
      </w:r>
    </w:p>
    <w:p>
      <w:pPr>
        <w:tabs>
          <w:tab w:val="left" w:pos="6300"/>
        </w:tabs>
        <w:snapToGrid w:val="0"/>
        <w:spacing w:line="276" w:lineRule="auto"/>
        <w:ind w:firstLine="420" w:firstLineChars="200"/>
        <w:rPr>
          <w:rFonts w:hint="eastAsia"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276" w:lineRule="auto"/>
        <w:ind w:firstLine="420" w:firstLineChars="200"/>
        <w:rPr>
          <w:rFonts w:hint="eastAsia" w:ascii="宋体" w:hAnsi="宋体"/>
          <w:sz w:val="21"/>
          <w:szCs w:val="21"/>
        </w:rPr>
      </w:pPr>
      <w:r>
        <w:rPr>
          <w:rFonts w:hint="eastAsia" w:ascii="宋体" w:hAnsi="宋体"/>
          <w:sz w:val="21"/>
          <w:szCs w:val="21"/>
        </w:rPr>
        <w:t>本单位对上述声明的真实性负责。如有虚假，将依法承担相应责任。</w:t>
      </w:r>
    </w:p>
    <w:p>
      <w:pPr>
        <w:tabs>
          <w:tab w:val="left" w:pos="6300"/>
        </w:tabs>
        <w:snapToGrid w:val="0"/>
        <w:spacing w:line="276" w:lineRule="auto"/>
        <w:ind w:firstLine="420" w:firstLineChars="200"/>
        <w:rPr>
          <w:rFonts w:hint="eastAsia" w:ascii="宋体" w:hAnsi="宋体"/>
          <w:sz w:val="21"/>
          <w:szCs w:val="21"/>
        </w:rPr>
      </w:pPr>
    </w:p>
    <w:p>
      <w:pPr>
        <w:tabs>
          <w:tab w:val="left" w:pos="6300"/>
        </w:tabs>
        <w:snapToGrid w:val="0"/>
        <w:spacing w:line="276" w:lineRule="auto"/>
        <w:ind w:firstLine="420" w:firstLineChars="200"/>
        <w:rPr>
          <w:rFonts w:hint="eastAsia" w:ascii="宋体" w:hAnsi="宋体"/>
          <w:sz w:val="21"/>
          <w:szCs w:val="21"/>
        </w:rPr>
      </w:pPr>
    </w:p>
    <w:p>
      <w:pPr>
        <w:tabs>
          <w:tab w:val="left" w:pos="6300"/>
        </w:tabs>
        <w:snapToGrid w:val="0"/>
        <w:spacing w:line="276" w:lineRule="auto"/>
        <w:ind w:firstLine="420" w:firstLineChars="200"/>
        <w:rPr>
          <w:rFonts w:hint="eastAsia" w:ascii="宋体" w:hAnsi="宋体"/>
          <w:sz w:val="21"/>
          <w:szCs w:val="21"/>
        </w:rPr>
      </w:pPr>
      <w:r>
        <w:rPr>
          <w:rFonts w:hint="eastAsia" w:ascii="宋体" w:hAnsi="宋体"/>
          <w:sz w:val="21"/>
          <w:szCs w:val="21"/>
        </w:rPr>
        <w:t xml:space="preserve">                                                  投标人名称（盖章）：</w:t>
      </w:r>
    </w:p>
    <w:p>
      <w:pPr>
        <w:tabs>
          <w:tab w:val="left" w:pos="6300"/>
        </w:tabs>
        <w:snapToGrid w:val="0"/>
        <w:spacing w:line="276" w:lineRule="auto"/>
        <w:ind w:firstLine="570"/>
        <w:jc w:val="left"/>
        <w:rPr>
          <w:rFonts w:hint="eastAsia" w:ascii="宋体" w:hAnsi="宋体"/>
          <w:sz w:val="21"/>
          <w:szCs w:val="21"/>
        </w:rPr>
      </w:pPr>
      <w:r>
        <w:rPr>
          <w:rFonts w:hint="eastAsia" w:ascii="宋体" w:hAnsi="宋体"/>
          <w:sz w:val="21"/>
          <w:szCs w:val="21"/>
        </w:rPr>
        <w:t xml:space="preserve">                                                  日  期：</w:t>
      </w: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tabs>
          <w:tab w:val="left" w:pos="6300"/>
        </w:tabs>
        <w:snapToGrid w:val="0"/>
        <w:spacing w:line="276" w:lineRule="auto"/>
        <w:ind w:firstLine="570"/>
        <w:jc w:val="left"/>
        <w:rPr>
          <w:rFonts w:hint="eastAsia" w:ascii="宋体" w:hAnsi="宋体"/>
        </w:rPr>
      </w:pPr>
    </w:p>
    <w:p>
      <w:pPr>
        <w:spacing w:line="276" w:lineRule="auto"/>
        <w:rPr>
          <w:rFonts w:hint="eastAsia" w:ascii="宋体" w:hAnsi="宋体"/>
        </w:rPr>
      </w:pPr>
      <w:r>
        <w:rPr>
          <w:rFonts w:hint="eastAsia" w:ascii="宋体" w:hAnsi="宋体"/>
        </w:rPr>
        <w:t>（二）其他与项目有关的资料（自附）</w:t>
      </w:r>
    </w:p>
    <w:p>
      <w:pPr>
        <w:tabs>
          <w:tab w:val="left" w:pos="6300"/>
        </w:tabs>
        <w:snapToGrid w:val="0"/>
        <w:spacing w:line="276" w:lineRule="auto"/>
        <w:ind w:firstLine="570"/>
        <w:jc w:val="left"/>
        <w:rPr>
          <w:rFonts w:hint="eastAsia" w:ascii="宋体" w:hAnsi="宋体"/>
          <w:sz w:val="24"/>
        </w:rPr>
      </w:pPr>
    </w:p>
    <w:p>
      <w:pPr>
        <w:tabs>
          <w:tab w:val="left" w:pos="6300"/>
        </w:tabs>
        <w:snapToGrid w:val="0"/>
        <w:spacing w:line="276" w:lineRule="auto"/>
        <w:ind w:firstLine="570"/>
        <w:jc w:val="left"/>
        <w:rPr>
          <w:rFonts w:hint="eastAsia" w:ascii="宋体" w:hAnsi="宋体"/>
          <w:sz w:val="24"/>
        </w:rPr>
      </w:pPr>
    </w:p>
    <w:p>
      <w:pPr>
        <w:tabs>
          <w:tab w:val="left" w:pos="6300"/>
        </w:tabs>
        <w:snapToGrid w:val="0"/>
        <w:spacing w:line="276" w:lineRule="auto"/>
        <w:ind w:firstLine="570"/>
        <w:jc w:val="left"/>
        <w:rPr>
          <w:rFonts w:hint="eastAsia" w:ascii="宋体" w:hAnsi="宋体"/>
          <w:sz w:val="24"/>
        </w:rPr>
      </w:pPr>
    </w:p>
    <w:p>
      <w:pPr>
        <w:tabs>
          <w:tab w:val="left" w:pos="6300"/>
        </w:tabs>
        <w:snapToGrid w:val="0"/>
        <w:spacing w:line="276" w:lineRule="auto"/>
        <w:ind w:firstLine="570"/>
        <w:jc w:val="left"/>
        <w:rPr>
          <w:rFonts w:hint="eastAsia" w:ascii="宋体" w:hAnsi="宋体"/>
          <w:sz w:val="24"/>
        </w:rPr>
      </w:pPr>
    </w:p>
    <w:p>
      <w:pPr>
        <w:tabs>
          <w:tab w:val="left" w:pos="6300"/>
        </w:tabs>
        <w:snapToGrid w:val="0"/>
        <w:spacing w:line="276" w:lineRule="auto"/>
        <w:ind w:firstLine="570"/>
        <w:jc w:val="left"/>
        <w:rPr>
          <w:rFonts w:hint="eastAsia" w:ascii="宋体" w:hAnsi="宋体"/>
          <w:sz w:val="24"/>
        </w:rPr>
      </w:pPr>
    </w:p>
    <w:p>
      <w:pPr>
        <w:tabs>
          <w:tab w:val="left" w:pos="6300"/>
        </w:tabs>
        <w:snapToGrid w:val="0"/>
        <w:spacing w:line="276" w:lineRule="auto"/>
        <w:ind w:firstLine="570"/>
        <w:jc w:val="left"/>
        <w:rPr>
          <w:rFonts w:hint="eastAsia" w:ascii="宋体" w:hAnsi="宋体"/>
          <w:sz w:val="24"/>
        </w:rPr>
      </w:pPr>
    </w:p>
    <w:p>
      <w:pPr>
        <w:tabs>
          <w:tab w:val="left" w:pos="6300"/>
        </w:tabs>
        <w:snapToGrid w:val="0"/>
        <w:spacing w:line="276" w:lineRule="auto"/>
        <w:ind w:firstLine="570"/>
        <w:jc w:val="left"/>
        <w:rPr>
          <w:rFonts w:hint="eastAsia" w:ascii="宋体" w:hAnsi="宋体"/>
          <w:sz w:val="24"/>
        </w:rPr>
      </w:pPr>
    </w:p>
    <w:p>
      <w:pPr>
        <w:tabs>
          <w:tab w:val="left" w:pos="6300"/>
        </w:tabs>
        <w:snapToGrid w:val="0"/>
        <w:spacing w:line="276" w:lineRule="auto"/>
        <w:jc w:val="center"/>
        <w:rPr>
          <w:rFonts w:hint="eastAsia" w:ascii="宋体" w:hAnsi="宋体"/>
        </w:rPr>
      </w:pPr>
      <w:r>
        <w:rPr>
          <w:rFonts w:hint="eastAsia" w:ascii="宋体" w:hAnsi="宋体"/>
        </w:rPr>
        <w:t>（结束）</w:t>
      </w:r>
    </w:p>
    <w:sectPr>
      <w:headerReference r:id="rId8" w:type="default"/>
      <w:footerReference r:id="rId9"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20B060901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2"/>
      </w:rPr>
      <w:instrText xml:space="preserve"> PAGE </w:instrText>
    </w:r>
    <w:r>
      <w:fldChar w:fldCharType="separate"/>
    </w:r>
    <w:r>
      <w:rPr>
        <w:rStyle w:val="62"/>
      </w:rPr>
      <w:t>- 34 -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left"/>
      <w:rPr>
        <w:rFonts w:hint="eastAsia" w:ascii="方正仿宋_GBK" w:eastAsia="方正仿宋_GBK"/>
        <w:sz w:val="21"/>
        <w:szCs w:val="24"/>
      </w:rPr>
    </w:pPr>
    <w:r>
      <w:rPr>
        <w:rFonts w:hint="eastAsia" w:ascii="方正仿宋_GBK" w:eastAsia="方正仿宋_GBK"/>
        <w:sz w:val="21"/>
        <w:szCs w:val="24"/>
      </w:rPr>
      <w:t>重庆市第九人民医院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方正仿宋_GBK" w:eastAsia="方正仿宋_GBK"/>
        <w:sz w:val="21"/>
        <w:szCs w:val="21"/>
      </w:rPr>
    </w:pPr>
    <w:r>
      <w:rPr>
        <w:rFonts w:hint="eastAsia" w:ascii="方正仿宋_GBK" w:eastAsia="方正仿宋_GBK"/>
        <w:sz w:val="21"/>
        <w:szCs w:val="24"/>
      </w:rPr>
      <w:t xml:space="preserve">重庆市第九人民医院 </w:t>
    </w:r>
    <w:r>
      <w:rPr>
        <w:rFonts w:hint="eastAsia" w:ascii="方正仿宋_GBK" w:eastAsia="方正仿宋_GBK"/>
        <w:sz w:val="21"/>
        <w:szCs w:val="21"/>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15237"/>
    <w:multiLevelType w:val="singleLevel"/>
    <w:tmpl w:val="9CC15237"/>
    <w:lvl w:ilvl="0" w:tentative="0">
      <w:start w:val="2"/>
      <w:numFmt w:val="decimal"/>
      <w:suff w:val="nothing"/>
      <w:lvlText w:val="%1、"/>
      <w:lvlJc w:val="left"/>
    </w:lvl>
  </w:abstractNum>
  <w:abstractNum w:abstractNumId="1">
    <w:nsid w:val="00000003"/>
    <w:multiLevelType w:val="singleLevel"/>
    <w:tmpl w:val="00000003"/>
    <w:lvl w:ilvl="0" w:tentative="0">
      <w:start w:val="1"/>
      <w:numFmt w:val="decimal"/>
      <w:pStyle w:val="14"/>
      <w:lvlText w:val="%1."/>
      <w:lvlJc w:val="left"/>
      <w:pPr>
        <w:tabs>
          <w:tab w:val="left" w:pos="780"/>
        </w:tabs>
        <w:ind w:left="780" w:hanging="360"/>
      </w:pPr>
    </w:lvl>
  </w:abstractNum>
  <w:abstractNum w:abstractNumId="2">
    <w:nsid w:val="00000005"/>
    <w:multiLevelType w:val="multilevel"/>
    <w:tmpl w:val="00000005"/>
    <w:lvl w:ilvl="0" w:tentative="0">
      <w:start w:val="1"/>
      <w:numFmt w:val="bullet"/>
      <w:pStyle w:val="115"/>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07"/>
    <w:multiLevelType w:val="multilevel"/>
    <w:tmpl w:val="00000007"/>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89"/>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3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5"/>
    <w:multiLevelType w:val="multilevel"/>
    <w:tmpl w:val="00000015"/>
    <w:lvl w:ilvl="0" w:tentative="0">
      <w:start w:val="1"/>
      <w:numFmt w:val="decimal"/>
      <w:pStyle w:val="186"/>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6"/>
    <w:multiLevelType w:val="singleLevel"/>
    <w:tmpl w:val="00000016"/>
    <w:lvl w:ilvl="0" w:tentative="0">
      <w:start w:val="1"/>
      <w:numFmt w:val="bullet"/>
      <w:pStyle w:val="163"/>
      <w:lvlText w:val=""/>
      <w:lvlJc w:val="left"/>
      <w:pPr>
        <w:tabs>
          <w:tab w:val="left" w:pos="360"/>
        </w:tabs>
        <w:ind w:left="360" w:hanging="360"/>
      </w:pPr>
      <w:rPr>
        <w:rFonts w:hint="default" w:ascii="Wingdings" w:hAnsi="Wingdings"/>
      </w:rPr>
    </w:lvl>
  </w:abstractNum>
  <w:abstractNum w:abstractNumId="12">
    <w:nsid w:val="00000017"/>
    <w:multiLevelType w:val="singleLevel"/>
    <w:tmpl w:val="00000017"/>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3">
    <w:nsid w:val="00000019"/>
    <w:multiLevelType w:val="singleLevel"/>
    <w:tmpl w:val="00000019"/>
    <w:lvl w:ilvl="0" w:tentative="0">
      <w:start w:val="1"/>
      <w:numFmt w:val="decimal"/>
      <w:pStyle w:val="152"/>
      <w:lvlText w:val="%1)"/>
      <w:lvlJc w:val="left"/>
      <w:pPr>
        <w:tabs>
          <w:tab w:val="left" w:pos="425"/>
        </w:tabs>
        <w:ind w:left="425" w:hanging="425"/>
      </w:pPr>
      <w:rPr>
        <w:rFonts w:hint="eastAsia"/>
      </w:rPr>
    </w:lvl>
  </w:abstractNum>
  <w:abstractNum w:abstractNumId="14">
    <w:nsid w:val="0000001A"/>
    <w:multiLevelType w:val="multilevel"/>
    <w:tmpl w:val="0000001A"/>
    <w:lvl w:ilvl="0" w:tentative="0">
      <w:start w:val="1"/>
      <w:numFmt w:val="decimal"/>
      <w:pStyle w:val="9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D"/>
    <w:multiLevelType w:val="multilevel"/>
    <w:tmpl w:val="0000001D"/>
    <w:lvl w:ilvl="0" w:tentative="0">
      <w:start w:val="1"/>
      <w:numFmt w:val="chineseCountingThousand"/>
      <w:pStyle w:val="17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50B7BF6"/>
    <w:multiLevelType w:val="multilevel"/>
    <w:tmpl w:val="450B7BF6"/>
    <w:lvl w:ilvl="0" w:tentative="0">
      <w:start w:val="1"/>
      <w:numFmt w:val="decimal"/>
      <w:pStyle w:val="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77A22FA"/>
    <w:multiLevelType w:val="singleLevel"/>
    <w:tmpl w:val="577A22FA"/>
    <w:lvl w:ilvl="0" w:tentative="0">
      <w:start w:val="2"/>
      <w:numFmt w:val="chineseCounting"/>
      <w:suff w:val="nothing"/>
      <w:lvlText w:val="（%1）"/>
      <w:lvlJc w:val="left"/>
    </w:lvl>
  </w:abstractNum>
  <w:abstractNum w:abstractNumId="18">
    <w:nsid w:val="57C00750"/>
    <w:multiLevelType w:val="singleLevel"/>
    <w:tmpl w:val="57C00750"/>
    <w:lvl w:ilvl="0" w:tentative="0">
      <w:start w:val="1"/>
      <w:numFmt w:val="chineseCounting"/>
      <w:suff w:val="nothing"/>
      <w:lvlText w:val="（%1）"/>
      <w:lvlJc w:val="left"/>
    </w:lvl>
  </w:abstractNum>
  <w:num w:numId="1">
    <w:abstractNumId w:val="16"/>
  </w:num>
  <w:num w:numId="2">
    <w:abstractNumId w:val="1"/>
  </w:num>
  <w:num w:numId="3">
    <w:abstractNumId w:val="3"/>
  </w:num>
  <w:num w:numId="4">
    <w:abstractNumId w:val="12"/>
  </w:num>
  <w:num w:numId="5">
    <w:abstractNumId w:val="7"/>
  </w:num>
  <w:num w:numId="6">
    <w:abstractNumId w:val="14"/>
  </w:num>
  <w:num w:numId="7">
    <w:abstractNumId w:val="2"/>
  </w:num>
  <w:num w:numId="8">
    <w:abstractNumId w:val="5"/>
  </w:num>
  <w:num w:numId="9">
    <w:abstractNumId w:val="8"/>
  </w:num>
  <w:num w:numId="10">
    <w:abstractNumId w:val="6"/>
  </w:num>
  <w:num w:numId="11">
    <w:abstractNumId w:val="13"/>
  </w:num>
  <w:num w:numId="12">
    <w:abstractNumId w:val="11"/>
  </w:num>
  <w:num w:numId="13">
    <w:abstractNumId w:val="4"/>
  </w:num>
  <w:num w:numId="14">
    <w:abstractNumId w:val="15"/>
  </w:num>
  <w:num w:numId="15">
    <w:abstractNumId w:val="10"/>
  </w:num>
  <w:num w:numId="16">
    <w:abstractNumId w:val="9"/>
  </w:num>
  <w:num w:numId="17">
    <w:abstractNumId w:val="0"/>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52"/>
    <w:rsid w:val="00006772"/>
    <w:rsid w:val="000072F0"/>
    <w:rsid w:val="00011974"/>
    <w:rsid w:val="00011AF1"/>
    <w:rsid w:val="000159CA"/>
    <w:rsid w:val="00021946"/>
    <w:rsid w:val="00025013"/>
    <w:rsid w:val="000266A1"/>
    <w:rsid w:val="00034A67"/>
    <w:rsid w:val="00036148"/>
    <w:rsid w:val="0003767C"/>
    <w:rsid w:val="000376BA"/>
    <w:rsid w:val="00042250"/>
    <w:rsid w:val="00043311"/>
    <w:rsid w:val="00047EC0"/>
    <w:rsid w:val="00056058"/>
    <w:rsid w:val="00060807"/>
    <w:rsid w:val="00060E35"/>
    <w:rsid w:val="0006572E"/>
    <w:rsid w:val="00067E6F"/>
    <w:rsid w:val="00075520"/>
    <w:rsid w:val="000946BD"/>
    <w:rsid w:val="00094D91"/>
    <w:rsid w:val="000A1394"/>
    <w:rsid w:val="000A2529"/>
    <w:rsid w:val="000A5589"/>
    <w:rsid w:val="000A6C5F"/>
    <w:rsid w:val="000B2716"/>
    <w:rsid w:val="000C2017"/>
    <w:rsid w:val="000C44E3"/>
    <w:rsid w:val="000E43DC"/>
    <w:rsid w:val="000F16AA"/>
    <w:rsid w:val="000F176A"/>
    <w:rsid w:val="00100D7A"/>
    <w:rsid w:val="001103D7"/>
    <w:rsid w:val="00110AA3"/>
    <w:rsid w:val="0011194D"/>
    <w:rsid w:val="00124CAB"/>
    <w:rsid w:val="00135250"/>
    <w:rsid w:val="001407F6"/>
    <w:rsid w:val="00146F1F"/>
    <w:rsid w:val="001528E5"/>
    <w:rsid w:val="00154A37"/>
    <w:rsid w:val="001572A0"/>
    <w:rsid w:val="00161645"/>
    <w:rsid w:val="00173A9E"/>
    <w:rsid w:val="001767A8"/>
    <w:rsid w:val="00177752"/>
    <w:rsid w:val="00184668"/>
    <w:rsid w:val="001864B0"/>
    <w:rsid w:val="001A0940"/>
    <w:rsid w:val="001C7048"/>
    <w:rsid w:val="001C7A41"/>
    <w:rsid w:val="001D3080"/>
    <w:rsid w:val="001D3B7E"/>
    <w:rsid w:val="001D3BF8"/>
    <w:rsid w:val="001E2993"/>
    <w:rsid w:val="001E4F32"/>
    <w:rsid w:val="001F2848"/>
    <w:rsid w:val="001F2B77"/>
    <w:rsid w:val="00202508"/>
    <w:rsid w:val="00217C0F"/>
    <w:rsid w:val="00221927"/>
    <w:rsid w:val="00223B03"/>
    <w:rsid w:val="002259B2"/>
    <w:rsid w:val="00225AEE"/>
    <w:rsid w:val="0022711C"/>
    <w:rsid w:val="00233AFE"/>
    <w:rsid w:val="002435D0"/>
    <w:rsid w:val="00243F8F"/>
    <w:rsid w:val="00250A90"/>
    <w:rsid w:val="00252999"/>
    <w:rsid w:val="0025308A"/>
    <w:rsid w:val="002551FA"/>
    <w:rsid w:val="00255554"/>
    <w:rsid w:val="0025601D"/>
    <w:rsid w:val="00257FF1"/>
    <w:rsid w:val="00262267"/>
    <w:rsid w:val="00262E5F"/>
    <w:rsid w:val="00263F00"/>
    <w:rsid w:val="00264A68"/>
    <w:rsid w:val="0028066C"/>
    <w:rsid w:val="00281064"/>
    <w:rsid w:val="00281C26"/>
    <w:rsid w:val="002833CF"/>
    <w:rsid w:val="00286CB3"/>
    <w:rsid w:val="0029022C"/>
    <w:rsid w:val="00293E38"/>
    <w:rsid w:val="002942B8"/>
    <w:rsid w:val="002A0576"/>
    <w:rsid w:val="002A07E2"/>
    <w:rsid w:val="002B26F0"/>
    <w:rsid w:val="002B552B"/>
    <w:rsid w:val="002C6836"/>
    <w:rsid w:val="002C7F2B"/>
    <w:rsid w:val="002D2F75"/>
    <w:rsid w:val="002E0FB6"/>
    <w:rsid w:val="002E1597"/>
    <w:rsid w:val="002E2816"/>
    <w:rsid w:val="002E41DF"/>
    <w:rsid w:val="002E6AC4"/>
    <w:rsid w:val="002E6DFA"/>
    <w:rsid w:val="002F1086"/>
    <w:rsid w:val="002F5829"/>
    <w:rsid w:val="002F5EEF"/>
    <w:rsid w:val="00301076"/>
    <w:rsid w:val="00316DF2"/>
    <w:rsid w:val="003231A8"/>
    <w:rsid w:val="00324C21"/>
    <w:rsid w:val="00331597"/>
    <w:rsid w:val="00342497"/>
    <w:rsid w:val="00344FF3"/>
    <w:rsid w:val="00353E41"/>
    <w:rsid w:val="00370BF4"/>
    <w:rsid w:val="0037169E"/>
    <w:rsid w:val="003716A5"/>
    <w:rsid w:val="00376B12"/>
    <w:rsid w:val="00383C9F"/>
    <w:rsid w:val="0038635F"/>
    <w:rsid w:val="003902F6"/>
    <w:rsid w:val="003A37BE"/>
    <w:rsid w:val="003A4636"/>
    <w:rsid w:val="003B2F40"/>
    <w:rsid w:val="003C3995"/>
    <w:rsid w:val="003D0992"/>
    <w:rsid w:val="003D1F45"/>
    <w:rsid w:val="003D229C"/>
    <w:rsid w:val="003E191C"/>
    <w:rsid w:val="003E316B"/>
    <w:rsid w:val="003E5E95"/>
    <w:rsid w:val="003E699F"/>
    <w:rsid w:val="003F2CFF"/>
    <w:rsid w:val="003F5BC7"/>
    <w:rsid w:val="003F7CE2"/>
    <w:rsid w:val="0040154D"/>
    <w:rsid w:val="0040799A"/>
    <w:rsid w:val="00410D92"/>
    <w:rsid w:val="00411C41"/>
    <w:rsid w:val="004157DD"/>
    <w:rsid w:val="00415899"/>
    <w:rsid w:val="00415D11"/>
    <w:rsid w:val="00422860"/>
    <w:rsid w:val="00425B08"/>
    <w:rsid w:val="00431B48"/>
    <w:rsid w:val="00432DE8"/>
    <w:rsid w:val="00442474"/>
    <w:rsid w:val="0044361E"/>
    <w:rsid w:val="0045181E"/>
    <w:rsid w:val="00452670"/>
    <w:rsid w:val="00454511"/>
    <w:rsid w:val="0045590E"/>
    <w:rsid w:val="00465257"/>
    <w:rsid w:val="00475385"/>
    <w:rsid w:val="0047562B"/>
    <w:rsid w:val="00475E0F"/>
    <w:rsid w:val="00481CD4"/>
    <w:rsid w:val="0048396B"/>
    <w:rsid w:val="00485174"/>
    <w:rsid w:val="00487CDA"/>
    <w:rsid w:val="004978F0"/>
    <w:rsid w:val="004A0052"/>
    <w:rsid w:val="004A02B1"/>
    <w:rsid w:val="004A263F"/>
    <w:rsid w:val="004B1497"/>
    <w:rsid w:val="004B4538"/>
    <w:rsid w:val="004B6CA6"/>
    <w:rsid w:val="004B709B"/>
    <w:rsid w:val="004B7FE0"/>
    <w:rsid w:val="004C1FC5"/>
    <w:rsid w:val="004C2A6E"/>
    <w:rsid w:val="004D009E"/>
    <w:rsid w:val="004D0D5D"/>
    <w:rsid w:val="004D6700"/>
    <w:rsid w:val="004E257E"/>
    <w:rsid w:val="005016D9"/>
    <w:rsid w:val="00502629"/>
    <w:rsid w:val="00511323"/>
    <w:rsid w:val="00513CBD"/>
    <w:rsid w:val="00525E4A"/>
    <w:rsid w:val="00537C42"/>
    <w:rsid w:val="00541231"/>
    <w:rsid w:val="00545C00"/>
    <w:rsid w:val="00546C36"/>
    <w:rsid w:val="00550BEB"/>
    <w:rsid w:val="0055311C"/>
    <w:rsid w:val="00562B13"/>
    <w:rsid w:val="00562EFE"/>
    <w:rsid w:val="005645D3"/>
    <w:rsid w:val="00566CBB"/>
    <w:rsid w:val="00575BED"/>
    <w:rsid w:val="00577CDB"/>
    <w:rsid w:val="00587496"/>
    <w:rsid w:val="005A18A4"/>
    <w:rsid w:val="005A3BEE"/>
    <w:rsid w:val="005A6846"/>
    <w:rsid w:val="005B1105"/>
    <w:rsid w:val="005B1829"/>
    <w:rsid w:val="005B5D00"/>
    <w:rsid w:val="005C3185"/>
    <w:rsid w:val="005C4345"/>
    <w:rsid w:val="005D2F52"/>
    <w:rsid w:val="005E117E"/>
    <w:rsid w:val="005E12B4"/>
    <w:rsid w:val="005E7B12"/>
    <w:rsid w:val="005F17F3"/>
    <w:rsid w:val="005F363C"/>
    <w:rsid w:val="005F51F8"/>
    <w:rsid w:val="005F5262"/>
    <w:rsid w:val="005F65A7"/>
    <w:rsid w:val="00600DF2"/>
    <w:rsid w:val="00601283"/>
    <w:rsid w:val="006016E0"/>
    <w:rsid w:val="00601F42"/>
    <w:rsid w:val="006021ED"/>
    <w:rsid w:val="0060469C"/>
    <w:rsid w:val="00606AF8"/>
    <w:rsid w:val="00612C1F"/>
    <w:rsid w:val="0061386E"/>
    <w:rsid w:val="00616EC6"/>
    <w:rsid w:val="00624833"/>
    <w:rsid w:val="0062622B"/>
    <w:rsid w:val="006275D7"/>
    <w:rsid w:val="00631483"/>
    <w:rsid w:val="006341BD"/>
    <w:rsid w:val="00636C1F"/>
    <w:rsid w:val="006456C7"/>
    <w:rsid w:val="00653FC4"/>
    <w:rsid w:val="006558D7"/>
    <w:rsid w:val="00655CB3"/>
    <w:rsid w:val="00661A58"/>
    <w:rsid w:val="006661A4"/>
    <w:rsid w:val="0066764A"/>
    <w:rsid w:val="006732AF"/>
    <w:rsid w:val="00675735"/>
    <w:rsid w:val="00675E52"/>
    <w:rsid w:val="006800A2"/>
    <w:rsid w:val="00680CC4"/>
    <w:rsid w:val="00680EEC"/>
    <w:rsid w:val="0068367F"/>
    <w:rsid w:val="00687999"/>
    <w:rsid w:val="00692295"/>
    <w:rsid w:val="00696EEA"/>
    <w:rsid w:val="006A0B45"/>
    <w:rsid w:val="006A3DC1"/>
    <w:rsid w:val="006A5644"/>
    <w:rsid w:val="006A71EB"/>
    <w:rsid w:val="006B1991"/>
    <w:rsid w:val="006B3BCB"/>
    <w:rsid w:val="006B446F"/>
    <w:rsid w:val="006C2CB1"/>
    <w:rsid w:val="006C32BC"/>
    <w:rsid w:val="006C4663"/>
    <w:rsid w:val="006D7125"/>
    <w:rsid w:val="006E016E"/>
    <w:rsid w:val="006E2F2B"/>
    <w:rsid w:val="006F1439"/>
    <w:rsid w:val="006F1A60"/>
    <w:rsid w:val="006F7B0F"/>
    <w:rsid w:val="00701E8B"/>
    <w:rsid w:val="0070237A"/>
    <w:rsid w:val="007070E3"/>
    <w:rsid w:val="007101F0"/>
    <w:rsid w:val="007203A8"/>
    <w:rsid w:val="00727EA4"/>
    <w:rsid w:val="00736BA5"/>
    <w:rsid w:val="00736DED"/>
    <w:rsid w:val="007440E6"/>
    <w:rsid w:val="007445DB"/>
    <w:rsid w:val="00751BD7"/>
    <w:rsid w:val="00754077"/>
    <w:rsid w:val="00757139"/>
    <w:rsid w:val="007604C1"/>
    <w:rsid w:val="007613AA"/>
    <w:rsid w:val="007615A8"/>
    <w:rsid w:val="00761E7F"/>
    <w:rsid w:val="007629D1"/>
    <w:rsid w:val="00763937"/>
    <w:rsid w:val="007641FC"/>
    <w:rsid w:val="00765791"/>
    <w:rsid w:val="00770A1E"/>
    <w:rsid w:val="00771D5C"/>
    <w:rsid w:val="00774817"/>
    <w:rsid w:val="0077586D"/>
    <w:rsid w:val="00781E90"/>
    <w:rsid w:val="007843B7"/>
    <w:rsid w:val="007977A7"/>
    <w:rsid w:val="007A1958"/>
    <w:rsid w:val="007A1D16"/>
    <w:rsid w:val="007A2E91"/>
    <w:rsid w:val="007A4D8F"/>
    <w:rsid w:val="007B08DC"/>
    <w:rsid w:val="007D06F0"/>
    <w:rsid w:val="007D5328"/>
    <w:rsid w:val="007E0FF7"/>
    <w:rsid w:val="007E7604"/>
    <w:rsid w:val="007F13DC"/>
    <w:rsid w:val="007F396F"/>
    <w:rsid w:val="007F3ED7"/>
    <w:rsid w:val="007F4475"/>
    <w:rsid w:val="0080008F"/>
    <w:rsid w:val="00813DCB"/>
    <w:rsid w:val="00823323"/>
    <w:rsid w:val="00836907"/>
    <w:rsid w:val="00837E7E"/>
    <w:rsid w:val="00846835"/>
    <w:rsid w:val="00850495"/>
    <w:rsid w:val="00860FA0"/>
    <w:rsid w:val="00872165"/>
    <w:rsid w:val="00872BD9"/>
    <w:rsid w:val="00872CE0"/>
    <w:rsid w:val="008805E7"/>
    <w:rsid w:val="008823C5"/>
    <w:rsid w:val="008847BE"/>
    <w:rsid w:val="00885CBF"/>
    <w:rsid w:val="00887F07"/>
    <w:rsid w:val="00887F44"/>
    <w:rsid w:val="008A0CEB"/>
    <w:rsid w:val="008A6283"/>
    <w:rsid w:val="008A6DB1"/>
    <w:rsid w:val="008C0317"/>
    <w:rsid w:val="008C4238"/>
    <w:rsid w:val="008C54D0"/>
    <w:rsid w:val="008C5917"/>
    <w:rsid w:val="008D2FB6"/>
    <w:rsid w:val="008D5912"/>
    <w:rsid w:val="008D5D99"/>
    <w:rsid w:val="008E19F1"/>
    <w:rsid w:val="008E4A4A"/>
    <w:rsid w:val="008E6C42"/>
    <w:rsid w:val="008F0CB3"/>
    <w:rsid w:val="008F5FE3"/>
    <w:rsid w:val="008F6B0B"/>
    <w:rsid w:val="008F7FC7"/>
    <w:rsid w:val="00906CF9"/>
    <w:rsid w:val="00907D95"/>
    <w:rsid w:val="009111F7"/>
    <w:rsid w:val="00923C4C"/>
    <w:rsid w:val="0092759C"/>
    <w:rsid w:val="00932299"/>
    <w:rsid w:val="009431CE"/>
    <w:rsid w:val="0094671D"/>
    <w:rsid w:val="00952A37"/>
    <w:rsid w:val="0095360A"/>
    <w:rsid w:val="00964785"/>
    <w:rsid w:val="00965047"/>
    <w:rsid w:val="00965D3C"/>
    <w:rsid w:val="00965F18"/>
    <w:rsid w:val="00966217"/>
    <w:rsid w:val="009704E8"/>
    <w:rsid w:val="00971130"/>
    <w:rsid w:val="00977EA2"/>
    <w:rsid w:val="009815D1"/>
    <w:rsid w:val="009847F2"/>
    <w:rsid w:val="00987348"/>
    <w:rsid w:val="009931BD"/>
    <w:rsid w:val="00993E75"/>
    <w:rsid w:val="009961AF"/>
    <w:rsid w:val="0099772A"/>
    <w:rsid w:val="00997ED7"/>
    <w:rsid w:val="009A2F0C"/>
    <w:rsid w:val="009A559F"/>
    <w:rsid w:val="009A7C4B"/>
    <w:rsid w:val="009B7144"/>
    <w:rsid w:val="009C2DEA"/>
    <w:rsid w:val="009C33FD"/>
    <w:rsid w:val="009C6566"/>
    <w:rsid w:val="009D3468"/>
    <w:rsid w:val="009D3B7C"/>
    <w:rsid w:val="009D52DD"/>
    <w:rsid w:val="009E6755"/>
    <w:rsid w:val="009E7274"/>
    <w:rsid w:val="009F3F85"/>
    <w:rsid w:val="009F56FA"/>
    <w:rsid w:val="00A05776"/>
    <w:rsid w:val="00A057F4"/>
    <w:rsid w:val="00A216BD"/>
    <w:rsid w:val="00A33DAC"/>
    <w:rsid w:val="00A348D5"/>
    <w:rsid w:val="00A35A0C"/>
    <w:rsid w:val="00A36EAF"/>
    <w:rsid w:val="00A43B02"/>
    <w:rsid w:val="00A43BFA"/>
    <w:rsid w:val="00A52466"/>
    <w:rsid w:val="00A5465E"/>
    <w:rsid w:val="00A70CFF"/>
    <w:rsid w:val="00A72DCF"/>
    <w:rsid w:val="00A819CD"/>
    <w:rsid w:val="00A845C5"/>
    <w:rsid w:val="00A84CC4"/>
    <w:rsid w:val="00A85534"/>
    <w:rsid w:val="00A85AFE"/>
    <w:rsid w:val="00A87965"/>
    <w:rsid w:val="00A918E0"/>
    <w:rsid w:val="00A96FAC"/>
    <w:rsid w:val="00AA178F"/>
    <w:rsid w:val="00AA29D5"/>
    <w:rsid w:val="00AA330A"/>
    <w:rsid w:val="00AA3559"/>
    <w:rsid w:val="00AA3A39"/>
    <w:rsid w:val="00AA3DB5"/>
    <w:rsid w:val="00AA3EA9"/>
    <w:rsid w:val="00AA5FAE"/>
    <w:rsid w:val="00AB0373"/>
    <w:rsid w:val="00AB4654"/>
    <w:rsid w:val="00AB65A4"/>
    <w:rsid w:val="00AC0D4B"/>
    <w:rsid w:val="00AC34CB"/>
    <w:rsid w:val="00AC7E13"/>
    <w:rsid w:val="00AE6D6B"/>
    <w:rsid w:val="00B02FC6"/>
    <w:rsid w:val="00B03427"/>
    <w:rsid w:val="00B07506"/>
    <w:rsid w:val="00B10447"/>
    <w:rsid w:val="00B20DE3"/>
    <w:rsid w:val="00B26989"/>
    <w:rsid w:val="00B328F6"/>
    <w:rsid w:val="00B332F8"/>
    <w:rsid w:val="00B3483C"/>
    <w:rsid w:val="00B40E48"/>
    <w:rsid w:val="00B4612D"/>
    <w:rsid w:val="00B46AE5"/>
    <w:rsid w:val="00B47211"/>
    <w:rsid w:val="00B477F3"/>
    <w:rsid w:val="00B479A2"/>
    <w:rsid w:val="00B54100"/>
    <w:rsid w:val="00B54C95"/>
    <w:rsid w:val="00B56484"/>
    <w:rsid w:val="00B61D5E"/>
    <w:rsid w:val="00B66F07"/>
    <w:rsid w:val="00B71473"/>
    <w:rsid w:val="00B744BA"/>
    <w:rsid w:val="00B74E30"/>
    <w:rsid w:val="00B82429"/>
    <w:rsid w:val="00B82C14"/>
    <w:rsid w:val="00B83E7A"/>
    <w:rsid w:val="00B86533"/>
    <w:rsid w:val="00B912AB"/>
    <w:rsid w:val="00B9347F"/>
    <w:rsid w:val="00B94DDB"/>
    <w:rsid w:val="00B964E1"/>
    <w:rsid w:val="00B977C0"/>
    <w:rsid w:val="00BA0493"/>
    <w:rsid w:val="00BA33A9"/>
    <w:rsid w:val="00BA378D"/>
    <w:rsid w:val="00BA4C26"/>
    <w:rsid w:val="00BB7049"/>
    <w:rsid w:val="00BB70B3"/>
    <w:rsid w:val="00BC1F99"/>
    <w:rsid w:val="00BC4871"/>
    <w:rsid w:val="00BC4D5D"/>
    <w:rsid w:val="00BC7CD5"/>
    <w:rsid w:val="00BD0538"/>
    <w:rsid w:val="00BD2931"/>
    <w:rsid w:val="00BD3668"/>
    <w:rsid w:val="00BD6D76"/>
    <w:rsid w:val="00BE200A"/>
    <w:rsid w:val="00BE6B62"/>
    <w:rsid w:val="00BF2AE3"/>
    <w:rsid w:val="00BF370F"/>
    <w:rsid w:val="00BF4212"/>
    <w:rsid w:val="00BF680C"/>
    <w:rsid w:val="00C11DF3"/>
    <w:rsid w:val="00C22FB5"/>
    <w:rsid w:val="00C23C59"/>
    <w:rsid w:val="00C32F0A"/>
    <w:rsid w:val="00C35F43"/>
    <w:rsid w:val="00C423BA"/>
    <w:rsid w:val="00C44FAD"/>
    <w:rsid w:val="00C45ACD"/>
    <w:rsid w:val="00C45C68"/>
    <w:rsid w:val="00C47E15"/>
    <w:rsid w:val="00C5294B"/>
    <w:rsid w:val="00C558E6"/>
    <w:rsid w:val="00C62A1C"/>
    <w:rsid w:val="00C71166"/>
    <w:rsid w:val="00C71788"/>
    <w:rsid w:val="00C74BE1"/>
    <w:rsid w:val="00C758DE"/>
    <w:rsid w:val="00C778A3"/>
    <w:rsid w:val="00C7796A"/>
    <w:rsid w:val="00C815BF"/>
    <w:rsid w:val="00C86EA5"/>
    <w:rsid w:val="00C90D26"/>
    <w:rsid w:val="00C92310"/>
    <w:rsid w:val="00C940DC"/>
    <w:rsid w:val="00C95622"/>
    <w:rsid w:val="00C97C76"/>
    <w:rsid w:val="00CA35F2"/>
    <w:rsid w:val="00CA4768"/>
    <w:rsid w:val="00CB1B17"/>
    <w:rsid w:val="00CB1D82"/>
    <w:rsid w:val="00CC658E"/>
    <w:rsid w:val="00CD07B0"/>
    <w:rsid w:val="00CD5F03"/>
    <w:rsid w:val="00CE69EB"/>
    <w:rsid w:val="00CE6A29"/>
    <w:rsid w:val="00CF7D09"/>
    <w:rsid w:val="00D00074"/>
    <w:rsid w:val="00D004DE"/>
    <w:rsid w:val="00D175E6"/>
    <w:rsid w:val="00D22402"/>
    <w:rsid w:val="00D22AD4"/>
    <w:rsid w:val="00D2387A"/>
    <w:rsid w:val="00D32E09"/>
    <w:rsid w:val="00D33903"/>
    <w:rsid w:val="00D40397"/>
    <w:rsid w:val="00D40ED4"/>
    <w:rsid w:val="00D453CC"/>
    <w:rsid w:val="00D5598F"/>
    <w:rsid w:val="00D56691"/>
    <w:rsid w:val="00D629C4"/>
    <w:rsid w:val="00D70362"/>
    <w:rsid w:val="00D72A76"/>
    <w:rsid w:val="00D74754"/>
    <w:rsid w:val="00D76DFF"/>
    <w:rsid w:val="00D771DD"/>
    <w:rsid w:val="00D93E8A"/>
    <w:rsid w:val="00D94E5F"/>
    <w:rsid w:val="00D95EF5"/>
    <w:rsid w:val="00D96D4D"/>
    <w:rsid w:val="00DA46EA"/>
    <w:rsid w:val="00DA473D"/>
    <w:rsid w:val="00DA5311"/>
    <w:rsid w:val="00DA5782"/>
    <w:rsid w:val="00DB1DD6"/>
    <w:rsid w:val="00DB361F"/>
    <w:rsid w:val="00DB4665"/>
    <w:rsid w:val="00DB54D4"/>
    <w:rsid w:val="00DB7DF8"/>
    <w:rsid w:val="00DC1093"/>
    <w:rsid w:val="00DC16CA"/>
    <w:rsid w:val="00DC663A"/>
    <w:rsid w:val="00DD0496"/>
    <w:rsid w:val="00DD16EF"/>
    <w:rsid w:val="00DD7FAD"/>
    <w:rsid w:val="00DE4E0A"/>
    <w:rsid w:val="00DE63D8"/>
    <w:rsid w:val="00DF12C8"/>
    <w:rsid w:val="00DF23D0"/>
    <w:rsid w:val="00DF3C31"/>
    <w:rsid w:val="00DF461B"/>
    <w:rsid w:val="00DF4C81"/>
    <w:rsid w:val="00E0374D"/>
    <w:rsid w:val="00E03A0F"/>
    <w:rsid w:val="00E05D84"/>
    <w:rsid w:val="00E15AE5"/>
    <w:rsid w:val="00E2587A"/>
    <w:rsid w:val="00E30B66"/>
    <w:rsid w:val="00E44CFF"/>
    <w:rsid w:val="00E5029B"/>
    <w:rsid w:val="00E60B6E"/>
    <w:rsid w:val="00E6553B"/>
    <w:rsid w:val="00E75C0B"/>
    <w:rsid w:val="00E8445E"/>
    <w:rsid w:val="00E86CBF"/>
    <w:rsid w:val="00E93790"/>
    <w:rsid w:val="00EA09A7"/>
    <w:rsid w:val="00EA229F"/>
    <w:rsid w:val="00EA5253"/>
    <w:rsid w:val="00EA6434"/>
    <w:rsid w:val="00EC4AFA"/>
    <w:rsid w:val="00EC53CC"/>
    <w:rsid w:val="00EC74B3"/>
    <w:rsid w:val="00ED146F"/>
    <w:rsid w:val="00ED3A34"/>
    <w:rsid w:val="00ED51FD"/>
    <w:rsid w:val="00EE129C"/>
    <w:rsid w:val="00EE4B26"/>
    <w:rsid w:val="00EE50D3"/>
    <w:rsid w:val="00EE6FB0"/>
    <w:rsid w:val="00EE719A"/>
    <w:rsid w:val="00EF7D65"/>
    <w:rsid w:val="00F028F2"/>
    <w:rsid w:val="00F06FCC"/>
    <w:rsid w:val="00F10392"/>
    <w:rsid w:val="00F11682"/>
    <w:rsid w:val="00F27B7B"/>
    <w:rsid w:val="00F31352"/>
    <w:rsid w:val="00F405B9"/>
    <w:rsid w:val="00F5045C"/>
    <w:rsid w:val="00F509FB"/>
    <w:rsid w:val="00F753A8"/>
    <w:rsid w:val="00F7735B"/>
    <w:rsid w:val="00F822DB"/>
    <w:rsid w:val="00F830A4"/>
    <w:rsid w:val="00F91170"/>
    <w:rsid w:val="00FA422E"/>
    <w:rsid w:val="00FA65AC"/>
    <w:rsid w:val="00FA72B1"/>
    <w:rsid w:val="00FB26B3"/>
    <w:rsid w:val="00FB7965"/>
    <w:rsid w:val="00FC059C"/>
    <w:rsid w:val="00FC10F7"/>
    <w:rsid w:val="00FC6A7B"/>
    <w:rsid w:val="00FD5C43"/>
    <w:rsid w:val="00FD6624"/>
    <w:rsid w:val="00FE5C85"/>
    <w:rsid w:val="00FF2D68"/>
    <w:rsid w:val="00FF7EB1"/>
    <w:rsid w:val="010F68D7"/>
    <w:rsid w:val="022269E1"/>
    <w:rsid w:val="02387C70"/>
    <w:rsid w:val="02AB49FC"/>
    <w:rsid w:val="02D4669D"/>
    <w:rsid w:val="02EA0CCF"/>
    <w:rsid w:val="03064E13"/>
    <w:rsid w:val="03A3218D"/>
    <w:rsid w:val="03C05022"/>
    <w:rsid w:val="03C142B6"/>
    <w:rsid w:val="03F903E2"/>
    <w:rsid w:val="03FE737B"/>
    <w:rsid w:val="04335B11"/>
    <w:rsid w:val="04AC6C6F"/>
    <w:rsid w:val="04B30074"/>
    <w:rsid w:val="04B30699"/>
    <w:rsid w:val="04D57B0E"/>
    <w:rsid w:val="05AF098B"/>
    <w:rsid w:val="062151B0"/>
    <w:rsid w:val="06273BD8"/>
    <w:rsid w:val="064C36CC"/>
    <w:rsid w:val="06C80159"/>
    <w:rsid w:val="06E32170"/>
    <w:rsid w:val="06E615DF"/>
    <w:rsid w:val="07830345"/>
    <w:rsid w:val="07A96329"/>
    <w:rsid w:val="07FD0414"/>
    <w:rsid w:val="094E1D41"/>
    <w:rsid w:val="09EC62C8"/>
    <w:rsid w:val="09FB0C6A"/>
    <w:rsid w:val="0A1B34F3"/>
    <w:rsid w:val="0A355DAA"/>
    <w:rsid w:val="0AF11B33"/>
    <w:rsid w:val="0B112D7F"/>
    <w:rsid w:val="0B485072"/>
    <w:rsid w:val="0BDC1094"/>
    <w:rsid w:val="0BE46277"/>
    <w:rsid w:val="0BFF276A"/>
    <w:rsid w:val="0C276A88"/>
    <w:rsid w:val="0CD133FB"/>
    <w:rsid w:val="0CFD4CE0"/>
    <w:rsid w:val="0D5B79AB"/>
    <w:rsid w:val="0D6042A8"/>
    <w:rsid w:val="0D6A0A3E"/>
    <w:rsid w:val="0D996961"/>
    <w:rsid w:val="0DC40D43"/>
    <w:rsid w:val="0DE412C2"/>
    <w:rsid w:val="0E883B0D"/>
    <w:rsid w:val="0EB45626"/>
    <w:rsid w:val="0ED551C9"/>
    <w:rsid w:val="0F82532B"/>
    <w:rsid w:val="0FAD20F8"/>
    <w:rsid w:val="0FB06B1C"/>
    <w:rsid w:val="0FBA34B2"/>
    <w:rsid w:val="10514AD4"/>
    <w:rsid w:val="107E423D"/>
    <w:rsid w:val="10834F03"/>
    <w:rsid w:val="10C017E8"/>
    <w:rsid w:val="1106497C"/>
    <w:rsid w:val="11677AD0"/>
    <w:rsid w:val="11FC3F6D"/>
    <w:rsid w:val="12705623"/>
    <w:rsid w:val="12857919"/>
    <w:rsid w:val="12AC3EC0"/>
    <w:rsid w:val="13266600"/>
    <w:rsid w:val="133E07A2"/>
    <w:rsid w:val="13717356"/>
    <w:rsid w:val="13B00D53"/>
    <w:rsid w:val="13D11C6B"/>
    <w:rsid w:val="14625E07"/>
    <w:rsid w:val="14B422D0"/>
    <w:rsid w:val="154D2BC2"/>
    <w:rsid w:val="155A12F6"/>
    <w:rsid w:val="158552FE"/>
    <w:rsid w:val="15F94BBF"/>
    <w:rsid w:val="160E1F5F"/>
    <w:rsid w:val="16207779"/>
    <w:rsid w:val="167161B8"/>
    <w:rsid w:val="16B0476C"/>
    <w:rsid w:val="16F03007"/>
    <w:rsid w:val="17640299"/>
    <w:rsid w:val="17666218"/>
    <w:rsid w:val="176A0BCF"/>
    <w:rsid w:val="17CC73E5"/>
    <w:rsid w:val="17F4064B"/>
    <w:rsid w:val="17F90C2E"/>
    <w:rsid w:val="17F96DCE"/>
    <w:rsid w:val="18172E7A"/>
    <w:rsid w:val="18267F6A"/>
    <w:rsid w:val="18854CCB"/>
    <w:rsid w:val="18FA03E9"/>
    <w:rsid w:val="196D5BAD"/>
    <w:rsid w:val="19DE407C"/>
    <w:rsid w:val="19E10B11"/>
    <w:rsid w:val="19E63375"/>
    <w:rsid w:val="1A361E1D"/>
    <w:rsid w:val="1B543A37"/>
    <w:rsid w:val="1B737A33"/>
    <w:rsid w:val="1BBF61A2"/>
    <w:rsid w:val="1C4D36F6"/>
    <w:rsid w:val="1C7C0A01"/>
    <w:rsid w:val="1D2D1128"/>
    <w:rsid w:val="1D352F70"/>
    <w:rsid w:val="1D3F1798"/>
    <w:rsid w:val="1D84058D"/>
    <w:rsid w:val="1D8912F2"/>
    <w:rsid w:val="1DA9642A"/>
    <w:rsid w:val="1DD83ED9"/>
    <w:rsid w:val="1E3950B8"/>
    <w:rsid w:val="1E477435"/>
    <w:rsid w:val="1EA7212E"/>
    <w:rsid w:val="1EEC7DE6"/>
    <w:rsid w:val="20081376"/>
    <w:rsid w:val="203E2358"/>
    <w:rsid w:val="20465DAC"/>
    <w:rsid w:val="20766C95"/>
    <w:rsid w:val="20886F00"/>
    <w:rsid w:val="20F95428"/>
    <w:rsid w:val="21540318"/>
    <w:rsid w:val="215D3B97"/>
    <w:rsid w:val="219E0B79"/>
    <w:rsid w:val="21D25D29"/>
    <w:rsid w:val="21D579F1"/>
    <w:rsid w:val="223226D4"/>
    <w:rsid w:val="2245368C"/>
    <w:rsid w:val="225443E0"/>
    <w:rsid w:val="226752B1"/>
    <w:rsid w:val="227C0C90"/>
    <w:rsid w:val="22DE476E"/>
    <w:rsid w:val="23086BCD"/>
    <w:rsid w:val="232A008F"/>
    <w:rsid w:val="235E4BF1"/>
    <w:rsid w:val="236844C5"/>
    <w:rsid w:val="23860B4B"/>
    <w:rsid w:val="238E7C0B"/>
    <w:rsid w:val="243A284F"/>
    <w:rsid w:val="249767A2"/>
    <w:rsid w:val="24F85849"/>
    <w:rsid w:val="24FF1A7E"/>
    <w:rsid w:val="25134074"/>
    <w:rsid w:val="25F10DE1"/>
    <w:rsid w:val="267C0800"/>
    <w:rsid w:val="26DE7A3E"/>
    <w:rsid w:val="26F357FF"/>
    <w:rsid w:val="273D24AD"/>
    <w:rsid w:val="2758715E"/>
    <w:rsid w:val="27870A20"/>
    <w:rsid w:val="2822556C"/>
    <w:rsid w:val="285279A3"/>
    <w:rsid w:val="285506D5"/>
    <w:rsid w:val="288B7FD6"/>
    <w:rsid w:val="28A245CE"/>
    <w:rsid w:val="28DB663B"/>
    <w:rsid w:val="291757B5"/>
    <w:rsid w:val="29693DB0"/>
    <w:rsid w:val="2978466A"/>
    <w:rsid w:val="29F441C1"/>
    <w:rsid w:val="2A172AE9"/>
    <w:rsid w:val="2A9F6325"/>
    <w:rsid w:val="2AB44674"/>
    <w:rsid w:val="2B004F78"/>
    <w:rsid w:val="2B157BDA"/>
    <w:rsid w:val="2B774BFB"/>
    <w:rsid w:val="2BB83815"/>
    <w:rsid w:val="2BE769BB"/>
    <w:rsid w:val="2C7407AC"/>
    <w:rsid w:val="2D044F4B"/>
    <w:rsid w:val="2D24524B"/>
    <w:rsid w:val="2D344C65"/>
    <w:rsid w:val="2D354F0C"/>
    <w:rsid w:val="2D683FA3"/>
    <w:rsid w:val="2D7226CB"/>
    <w:rsid w:val="2DAB0FA6"/>
    <w:rsid w:val="2DFD3658"/>
    <w:rsid w:val="2E3E19FB"/>
    <w:rsid w:val="2E865758"/>
    <w:rsid w:val="2F556F69"/>
    <w:rsid w:val="2F5612F1"/>
    <w:rsid w:val="2FBA743A"/>
    <w:rsid w:val="305B4A49"/>
    <w:rsid w:val="30734ECB"/>
    <w:rsid w:val="30B5684C"/>
    <w:rsid w:val="310C404B"/>
    <w:rsid w:val="315A4266"/>
    <w:rsid w:val="316D6811"/>
    <w:rsid w:val="319866B7"/>
    <w:rsid w:val="31AD4D31"/>
    <w:rsid w:val="31C34022"/>
    <w:rsid w:val="324246E3"/>
    <w:rsid w:val="32590E63"/>
    <w:rsid w:val="33B51FDA"/>
    <w:rsid w:val="33B97CEA"/>
    <w:rsid w:val="342F41AF"/>
    <w:rsid w:val="346D0DDA"/>
    <w:rsid w:val="34E110F2"/>
    <w:rsid w:val="350152B5"/>
    <w:rsid w:val="35B3714C"/>
    <w:rsid w:val="362B4B1C"/>
    <w:rsid w:val="36970032"/>
    <w:rsid w:val="36E829F8"/>
    <w:rsid w:val="374448D2"/>
    <w:rsid w:val="37533025"/>
    <w:rsid w:val="37770356"/>
    <w:rsid w:val="378E3356"/>
    <w:rsid w:val="37BC5527"/>
    <w:rsid w:val="37E561F2"/>
    <w:rsid w:val="3863331E"/>
    <w:rsid w:val="386B4484"/>
    <w:rsid w:val="387B156C"/>
    <w:rsid w:val="38815040"/>
    <w:rsid w:val="38B77DBA"/>
    <w:rsid w:val="392B0E69"/>
    <w:rsid w:val="39D57F0E"/>
    <w:rsid w:val="3AA45370"/>
    <w:rsid w:val="3ACC5B3D"/>
    <w:rsid w:val="3AE10C1F"/>
    <w:rsid w:val="3B1E2D4B"/>
    <w:rsid w:val="3B470119"/>
    <w:rsid w:val="3B702855"/>
    <w:rsid w:val="3B7B0319"/>
    <w:rsid w:val="3B7E5A04"/>
    <w:rsid w:val="3BEE7EAD"/>
    <w:rsid w:val="3BF85EF9"/>
    <w:rsid w:val="3C7F4B0D"/>
    <w:rsid w:val="3CAB7F17"/>
    <w:rsid w:val="3CE1290D"/>
    <w:rsid w:val="3D2B252D"/>
    <w:rsid w:val="3DEF3D9F"/>
    <w:rsid w:val="3EC014A3"/>
    <w:rsid w:val="3F0B3DF6"/>
    <w:rsid w:val="3F185E03"/>
    <w:rsid w:val="3F1D1DB4"/>
    <w:rsid w:val="3FAD4DA9"/>
    <w:rsid w:val="3FC45A93"/>
    <w:rsid w:val="3FC94034"/>
    <w:rsid w:val="3FD7050E"/>
    <w:rsid w:val="401F1429"/>
    <w:rsid w:val="40447A15"/>
    <w:rsid w:val="40981D46"/>
    <w:rsid w:val="40C4524F"/>
    <w:rsid w:val="41064D0E"/>
    <w:rsid w:val="410C017D"/>
    <w:rsid w:val="425A31D4"/>
    <w:rsid w:val="42D1480B"/>
    <w:rsid w:val="42F0434A"/>
    <w:rsid w:val="43000453"/>
    <w:rsid w:val="43396B36"/>
    <w:rsid w:val="433D6DBA"/>
    <w:rsid w:val="434D3CA7"/>
    <w:rsid w:val="437F3F8B"/>
    <w:rsid w:val="43F46968"/>
    <w:rsid w:val="4427580A"/>
    <w:rsid w:val="44321F71"/>
    <w:rsid w:val="4447627F"/>
    <w:rsid w:val="44797679"/>
    <w:rsid w:val="44B8628D"/>
    <w:rsid w:val="44D45DED"/>
    <w:rsid w:val="44D836CC"/>
    <w:rsid w:val="45442489"/>
    <w:rsid w:val="456E5425"/>
    <w:rsid w:val="45CD69A5"/>
    <w:rsid w:val="45DC66E4"/>
    <w:rsid w:val="460E4795"/>
    <w:rsid w:val="4624120A"/>
    <w:rsid w:val="468A3901"/>
    <w:rsid w:val="46B817C7"/>
    <w:rsid w:val="47314E5B"/>
    <w:rsid w:val="47553725"/>
    <w:rsid w:val="48A50BA3"/>
    <w:rsid w:val="48CA2F83"/>
    <w:rsid w:val="490F33CC"/>
    <w:rsid w:val="49857E20"/>
    <w:rsid w:val="49F821E9"/>
    <w:rsid w:val="4A081BD8"/>
    <w:rsid w:val="4A486B60"/>
    <w:rsid w:val="4AF83705"/>
    <w:rsid w:val="4B15047D"/>
    <w:rsid w:val="4BBA14CC"/>
    <w:rsid w:val="4C7910C5"/>
    <w:rsid w:val="4CC6346C"/>
    <w:rsid w:val="4CFC70AE"/>
    <w:rsid w:val="4D3B490E"/>
    <w:rsid w:val="4D617B07"/>
    <w:rsid w:val="4E6529D5"/>
    <w:rsid w:val="4ED152B3"/>
    <w:rsid w:val="4F0F4119"/>
    <w:rsid w:val="4F3C3ACC"/>
    <w:rsid w:val="4F7B7BD9"/>
    <w:rsid w:val="4F9B5DE2"/>
    <w:rsid w:val="4FA03482"/>
    <w:rsid w:val="4FB9245B"/>
    <w:rsid w:val="4FC251EE"/>
    <w:rsid w:val="50221D62"/>
    <w:rsid w:val="502F6046"/>
    <w:rsid w:val="506D5907"/>
    <w:rsid w:val="507B329D"/>
    <w:rsid w:val="50986F00"/>
    <w:rsid w:val="50A87266"/>
    <w:rsid w:val="50A963FD"/>
    <w:rsid w:val="50B923A2"/>
    <w:rsid w:val="50DB117C"/>
    <w:rsid w:val="511308D3"/>
    <w:rsid w:val="51691D58"/>
    <w:rsid w:val="51845870"/>
    <w:rsid w:val="519A3924"/>
    <w:rsid w:val="51AB222B"/>
    <w:rsid w:val="52113E74"/>
    <w:rsid w:val="521C4D2E"/>
    <w:rsid w:val="525E39B3"/>
    <w:rsid w:val="5309067F"/>
    <w:rsid w:val="533F5229"/>
    <w:rsid w:val="5394161F"/>
    <w:rsid w:val="541E5A0C"/>
    <w:rsid w:val="547B1955"/>
    <w:rsid w:val="54AF08C6"/>
    <w:rsid w:val="550F640B"/>
    <w:rsid w:val="555D063F"/>
    <w:rsid w:val="55C63142"/>
    <w:rsid w:val="55C71A0E"/>
    <w:rsid w:val="560D45C6"/>
    <w:rsid w:val="560D7E52"/>
    <w:rsid w:val="566D4D24"/>
    <w:rsid w:val="566E43BE"/>
    <w:rsid w:val="56E00C63"/>
    <w:rsid w:val="56E2746A"/>
    <w:rsid w:val="56F658BD"/>
    <w:rsid w:val="5729591F"/>
    <w:rsid w:val="57561879"/>
    <w:rsid w:val="57837273"/>
    <w:rsid w:val="57CD0E7B"/>
    <w:rsid w:val="57CE1B7E"/>
    <w:rsid w:val="57F80F2A"/>
    <w:rsid w:val="586A23B1"/>
    <w:rsid w:val="59207A8F"/>
    <w:rsid w:val="5A0E0E4F"/>
    <w:rsid w:val="5A205037"/>
    <w:rsid w:val="5A2120C5"/>
    <w:rsid w:val="5A3C236A"/>
    <w:rsid w:val="5A4C51F6"/>
    <w:rsid w:val="5A4E7275"/>
    <w:rsid w:val="5AB04A11"/>
    <w:rsid w:val="5AE76B11"/>
    <w:rsid w:val="5AEC5C96"/>
    <w:rsid w:val="5B0833BF"/>
    <w:rsid w:val="5B0E4079"/>
    <w:rsid w:val="5BA425D2"/>
    <w:rsid w:val="5BAF00BD"/>
    <w:rsid w:val="5C4A71E4"/>
    <w:rsid w:val="5CA26E68"/>
    <w:rsid w:val="5D2406AA"/>
    <w:rsid w:val="5DDD50CB"/>
    <w:rsid w:val="5E5F71D2"/>
    <w:rsid w:val="5EFF7537"/>
    <w:rsid w:val="5F057B5D"/>
    <w:rsid w:val="5F2C5342"/>
    <w:rsid w:val="5F8F733E"/>
    <w:rsid w:val="5F932434"/>
    <w:rsid w:val="5FC55FA2"/>
    <w:rsid w:val="5FD8653C"/>
    <w:rsid w:val="5FDA6B79"/>
    <w:rsid w:val="605F5CC8"/>
    <w:rsid w:val="60B239E0"/>
    <w:rsid w:val="612B2474"/>
    <w:rsid w:val="61B37B81"/>
    <w:rsid w:val="61C471A3"/>
    <w:rsid w:val="61F81BA0"/>
    <w:rsid w:val="6286063A"/>
    <w:rsid w:val="628B1681"/>
    <w:rsid w:val="629F134C"/>
    <w:rsid w:val="635F0AA4"/>
    <w:rsid w:val="63744B50"/>
    <w:rsid w:val="638A7801"/>
    <w:rsid w:val="638C30D9"/>
    <w:rsid w:val="63902FBB"/>
    <w:rsid w:val="63A155BF"/>
    <w:rsid w:val="66400F0D"/>
    <w:rsid w:val="669018C4"/>
    <w:rsid w:val="66FF49C2"/>
    <w:rsid w:val="68094C3A"/>
    <w:rsid w:val="6825646F"/>
    <w:rsid w:val="682C280C"/>
    <w:rsid w:val="684C5F39"/>
    <w:rsid w:val="685779A2"/>
    <w:rsid w:val="692D669A"/>
    <w:rsid w:val="69590C7C"/>
    <w:rsid w:val="69635855"/>
    <w:rsid w:val="69971B44"/>
    <w:rsid w:val="69E479BE"/>
    <w:rsid w:val="6A484A87"/>
    <w:rsid w:val="6AB40CF4"/>
    <w:rsid w:val="6AF46499"/>
    <w:rsid w:val="6B2731A1"/>
    <w:rsid w:val="6B426CF6"/>
    <w:rsid w:val="6B534A0D"/>
    <w:rsid w:val="6BA82671"/>
    <w:rsid w:val="6C335886"/>
    <w:rsid w:val="6C913CF0"/>
    <w:rsid w:val="6CE116EB"/>
    <w:rsid w:val="6D2634A0"/>
    <w:rsid w:val="6D4113E3"/>
    <w:rsid w:val="6D491F96"/>
    <w:rsid w:val="6DBF7283"/>
    <w:rsid w:val="6DC36473"/>
    <w:rsid w:val="6E7F558E"/>
    <w:rsid w:val="6EA44903"/>
    <w:rsid w:val="6ECD5395"/>
    <w:rsid w:val="6F097333"/>
    <w:rsid w:val="6FAD6CFC"/>
    <w:rsid w:val="6FB91DC2"/>
    <w:rsid w:val="704056F7"/>
    <w:rsid w:val="70DC792E"/>
    <w:rsid w:val="72632102"/>
    <w:rsid w:val="727E228A"/>
    <w:rsid w:val="728A4488"/>
    <w:rsid w:val="728B4494"/>
    <w:rsid w:val="72BC4E87"/>
    <w:rsid w:val="72E72287"/>
    <w:rsid w:val="73462AFF"/>
    <w:rsid w:val="74597AC4"/>
    <w:rsid w:val="74D82DF5"/>
    <w:rsid w:val="75AE345C"/>
    <w:rsid w:val="75B3457D"/>
    <w:rsid w:val="763726A9"/>
    <w:rsid w:val="76D1652C"/>
    <w:rsid w:val="770E0732"/>
    <w:rsid w:val="770F419A"/>
    <w:rsid w:val="77171F9D"/>
    <w:rsid w:val="77A50841"/>
    <w:rsid w:val="77A517C7"/>
    <w:rsid w:val="7845735B"/>
    <w:rsid w:val="79027079"/>
    <w:rsid w:val="79341F46"/>
    <w:rsid w:val="79590294"/>
    <w:rsid w:val="7969175C"/>
    <w:rsid w:val="7972647D"/>
    <w:rsid w:val="79780BD4"/>
    <w:rsid w:val="7993425C"/>
    <w:rsid w:val="7A521717"/>
    <w:rsid w:val="7A9071C1"/>
    <w:rsid w:val="7A995E93"/>
    <w:rsid w:val="7AD76164"/>
    <w:rsid w:val="7B33107C"/>
    <w:rsid w:val="7B3431F3"/>
    <w:rsid w:val="7B52156E"/>
    <w:rsid w:val="7B7918CC"/>
    <w:rsid w:val="7BC93C26"/>
    <w:rsid w:val="7BCD3DD9"/>
    <w:rsid w:val="7C1D6D69"/>
    <w:rsid w:val="7CFE147A"/>
    <w:rsid w:val="7D3E67B0"/>
    <w:rsid w:val="7DA13A25"/>
    <w:rsid w:val="7DA55F7A"/>
    <w:rsid w:val="7E0109C9"/>
    <w:rsid w:val="7E3C77F5"/>
    <w:rsid w:val="7F5F577C"/>
    <w:rsid w:val="7F840F53"/>
    <w:rsid w:val="7FA846D4"/>
    <w:rsid w:val="7FD137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link w:val="68"/>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paragraph" w:styleId="6">
    <w:name w:val="heading 4"/>
    <w:basedOn w:val="1"/>
    <w:next w:val="1"/>
    <w:qFormat/>
    <w:uiPriority w:val="0"/>
    <w:pPr>
      <w:keepNext/>
      <w:keepLines/>
      <w:numPr>
        <w:ilvl w:val="0"/>
        <w:numId w:val="1"/>
      </w:numPr>
      <w:tabs>
        <w:tab w:val="left" w:pos="720"/>
      </w:tabs>
      <w:spacing w:before="560" w:after="290" w:line="377"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uiPriority w:val="0"/>
  </w:style>
  <w:style w:type="table" w:default="1" w:styleId="58">
    <w:name w:val="Normal Table"/>
    <w:unhideWhenUsed/>
    <w:uiPriority w:val="99"/>
    <w:tblPr>
      <w:tblCellMar>
        <w:top w:w="0" w:type="dxa"/>
        <w:left w:w="108" w:type="dxa"/>
        <w:bottom w:w="0" w:type="dxa"/>
        <w:right w:w="108" w:type="dxa"/>
      </w:tblCellMar>
    </w:tblPr>
  </w:style>
  <w:style w:type="paragraph" w:styleId="2">
    <w:name w:val="index 4"/>
    <w:basedOn w:val="1"/>
    <w:next w:val="1"/>
    <w:unhideWhenUsed/>
    <w:uiPriority w:val="99"/>
    <w:pPr>
      <w:framePr w:hSpace="180" w:wrap="around" w:vAnchor="text" w:hAnchor="page" w:xAlign="center" w:y="387"/>
      <w:suppressOverlap/>
      <w:spacing w:line="360" w:lineRule="auto"/>
    </w:pPr>
  </w:style>
  <w:style w:type="paragraph" w:styleId="12">
    <w:name w:val="List 3"/>
    <w:basedOn w:val="1"/>
    <w:uiPriority w:val="0"/>
    <w:pPr>
      <w:adjustRightInd w:val="0"/>
      <w:snapToGrid w:val="0"/>
      <w:spacing w:line="360" w:lineRule="auto"/>
      <w:ind w:left="100" w:leftChars="400" w:hanging="200" w:hangingChars="200"/>
    </w:pPr>
    <w:rPr>
      <w:sz w:val="24"/>
    </w:rPr>
  </w:style>
  <w:style w:type="paragraph" w:styleId="13">
    <w:name w:val="toc 7"/>
    <w:basedOn w:val="1"/>
    <w:next w:val="1"/>
    <w:uiPriority w:val="0"/>
    <w:pPr>
      <w:ind w:left="2520" w:leftChars="1200"/>
    </w:pPr>
  </w:style>
  <w:style w:type="paragraph" w:styleId="14">
    <w:name w:val="List Number 2"/>
    <w:basedOn w:val="1"/>
    <w:uiPriority w:val="0"/>
    <w:pPr>
      <w:numPr>
        <w:ilvl w:val="0"/>
        <w:numId w:val="2"/>
      </w:numPr>
      <w:spacing w:line="360" w:lineRule="auto"/>
    </w:pPr>
    <w:rPr>
      <w:sz w:val="24"/>
    </w:rPr>
  </w:style>
  <w:style w:type="paragraph" w:styleId="15">
    <w:name w:val="List Bullet 4"/>
    <w:basedOn w:val="1"/>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uiPriority w:val="0"/>
    <w:pPr>
      <w:shd w:val="clear" w:color="auto" w:fill="000080"/>
    </w:pPr>
  </w:style>
  <w:style w:type="paragraph" w:styleId="19">
    <w:name w:val="toa heading"/>
    <w:basedOn w:val="1"/>
    <w:next w:val="1"/>
    <w:uiPriority w:val="0"/>
    <w:pPr>
      <w:spacing w:before="120" w:beforeLines="0" w:beforeAutospacing="0"/>
    </w:pPr>
    <w:rPr>
      <w:rFonts w:ascii="Arial" w:hAnsi="Arial"/>
      <w:sz w:val="24"/>
    </w:rPr>
  </w:style>
  <w:style w:type="paragraph" w:styleId="20">
    <w:name w:val="annotation text"/>
    <w:basedOn w:val="1"/>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uiPriority w:val="0"/>
    <w:pPr>
      <w:adjustRightInd w:val="0"/>
      <w:snapToGrid w:val="0"/>
      <w:spacing w:after="120" w:afterLines="0" w:afterAutospacing="0" w:line="360" w:lineRule="auto"/>
    </w:pPr>
    <w:rPr>
      <w:sz w:val="16"/>
    </w:rPr>
  </w:style>
  <w:style w:type="paragraph" w:styleId="22">
    <w:name w:val="List Bullet 3"/>
    <w:basedOn w:val="1"/>
    <w:uiPriority w:val="0"/>
    <w:pPr>
      <w:numPr>
        <w:ilvl w:val="0"/>
        <w:numId w:val="4"/>
      </w:numPr>
      <w:adjustRightInd w:val="0"/>
      <w:snapToGrid w:val="0"/>
      <w:spacing w:line="360" w:lineRule="auto"/>
    </w:pPr>
    <w:rPr>
      <w:sz w:val="24"/>
    </w:rPr>
  </w:style>
  <w:style w:type="paragraph" w:styleId="23">
    <w:name w:val="Body Text"/>
    <w:basedOn w:val="1"/>
    <w:uiPriority w:val="0"/>
    <w:rPr>
      <w:rFonts w:ascii="仿宋_GB2312" w:eastAsia="仿宋_GB2312"/>
      <w:kern w:val="2"/>
      <w:sz w:val="32"/>
    </w:rPr>
  </w:style>
  <w:style w:type="paragraph" w:styleId="24">
    <w:name w:val="Body Text Indent"/>
    <w:basedOn w:val="1"/>
    <w:uiPriority w:val="0"/>
    <w:pPr>
      <w:spacing w:line="700" w:lineRule="exact"/>
      <w:ind w:left="960"/>
    </w:pPr>
    <w:rPr>
      <w:sz w:val="44"/>
    </w:rPr>
  </w:style>
  <w:style w:type="paragraph" w:styleId="25">
    <w:name w:val="List Number 3"/>
    <w:basedOn w:val="1"/>
    <w:uiPriority w:val="0"/>
    <w:pPr>
      <w:tabs>
        <w:tab w:val="left" w:pos="2120"/>
      </w:tabs>
      <w:adjustRightInd w:val="0"/>
      <w:snapToGrid w:val="0"/>
      <w:spacing w:line="360" w:lineRule="auto"/>
      <w:ind w:left="2120" w:hanging="720"/>
    </w:pPr>
    <w:rPr>
      <w:sz w:val="24"/>
    </w:rPr>
  </w:style>
  <w:style w:type="paragraph" w:styleId="26">
    <w:name w:val="List 2"/>
    <w:basedOn w:val="1"/>
    <w:uiPriority w:val="0"/>
    <w:pPr>
      <w:adjustRightInd w:val="0"/>
      <w:snapToGrid w:val="0"/>
      <w:spacing w:line="360" w:lineRule="auto"/>
      <w:ind w:left="100" w:leftChars="200" w:hanging="200" w:hangingChars="200"/>
    </w:pPr>
    <w:rPr>
      <w:sz w:val="24"/>
    </w:rPr>
  </w:style>
  <w:style w:type="paragraph" w:styleId="27">
    <w:name w:val="List Continue"/>
    <w:basedOn w:val="1"/>
    <w:uiPriority w:val="0"/>
    <w:pPr>
      <w:adjustRightInd w:val="0"/>
      <w:snapToGrid w:val="0"/>
      <w:spacing w:after="120" w:afterLines="0" w:afterAutospacing="0" w:line="360" w:lineRule="auto"/>
      <w:ind w:left="420" w:leftChars="200"/>
    </w:pPr>
    <w:rPr>
      <w:sz w:val="24"/>
    </w:rPr>
  </w:style>
  <w:style w:type="paragraph" w:styleId="28">
    <w:name w:val="List Bullet 2"/>
    <w:basedOn w:val="1"/>
    <w:uiPriority w:val="0"/>
    <w:pPr>
      <w:numPr>
        <w:ilvl w:val="0"/>
        <w:numId w:val="5"/>
      </w:numPr>
      <w:adjustRightInd w:val="0"/>
      <w:snapToGrid w:val="0"/>
      <w:spacing w:line="360" w:lineRule="auto"/>
    </w:pPr>
    <w:rPr>
      <w:sz w:val="24"/>
    </w:rPr>
  </w:style>
  <w:style w:type="paragraph" w:styleId="29">
    <w:name w:val="toc 5"/>
    <w:basedOn w:val="1"/>
    <w:next w:val="1"/>
    <w:uiPriority w:val="0"/>
    <w:pPr>
      <w:ind w:left="1680" w:leftChars="800"/>
    </w:pPr>
  </w:style>
  <w:style w:type="paragraph" w:styleId="30">
    <w:name w:val="toc 3"/>
    <w:basedOn w:val="1"/>
    <w:next w:val="1"/>
    <w:uiPriority w:val="0"/>
    <w:pPr>
      <w:ind w:left="840" w:leftChars="400"/>
    </w:pPr>
  </w:style>
  <w:style w:type="paragraph" w:styleId="31">
    <w:name w:val="Plain Text"/>
    <w:basedOn w:val="1"/>
    <w:uiPriority w:val="0"/>
    <w:pPr>
      <w:adjustRightInd w:val="0"/>
      <w:snapToGrid w:val="0"/>
      <w:spacing w:line="360" w:lineRule="auto"/>
    </w:pPr>
    <w:rPr>
      <w:rFonts w:ascii="宋体" w:hAnsi="Courier New"/>
      <w:sz w:val="21"/>
    </w:rPr>
  </w:style>
  <w:style w:type="paragraph" w:styleId="32">
    <w:name w:val="toc 8"/>
    <w:basedOn w:val="1"/>
    <w:next w:val="1"/>
    <w:uiPriority w:val="0"/>
    <w:pPr>
      <w:ind w:left="2940" w:leftChars="1400"/>
    </w:pPr>
  </w:style>
  <w:style w:type="paragraph" w:styleId="33">
    <w:name w:val="Date"/>
    <w:basedOn w:val="1"/>
    <w:next w:val="1"/>
    <w:link w:val="69"/>
    <w:uiPriority w:val="0"/>
  </w:style>
  <w:style w:type="paragraph" w:styleId="34">
    <w:name w:val="Body Text Indent 2"/>
    <w:basedOn w:val="1"/>
    <w:uiPriority w:val="0"/>
    <w:pPr>
      <w:snapToGrid w:val="0"/>
      <w:spacing w:line="440" w:lineRule="atLeast"/>
      <w:ind w:firstLine="570"/>
    </w:pPr>
    <w:rPr>
      <w:rFonts w:ascii="宋体"/>
    </w:rPr>
  </w:style>
  <w:style w:type="paragraph" w:styleId="35">
    <w:name w:val="Balloon Text"/>
    <w:basedOn w:val="1"/>
    <w:uiPriority w:val="0"/>
    <w:rPr>
      <w:sz w:val="18"/>
    </w:rPr>
  </w:style>
  <w:style w:type="paragraph" w:styleId="36">
    <w:name w:val="footer"/>
    <w:basedOn w:val="1"/>
    <w:uiPriority w:val="0"/>
    <w:pPr>
      <w:tabs>
        <w:tab w:val="center" w:pos="4153"/>
        <w:tab w:val="right" w:pos="8306"/>
      </w:tabs>
      <w:snapToGrid w:val="0"/>
      <w:jc w:val="left"/>
    </w:pPr>
    <w:rPr>
      <w:rFonts w:eastAsia="宋体"/>
      <w:kern w:val="2"/>
      <w:sz w:val="18"/>
      <w:lang w:val="en-US" w:eastAsia="zh-CN"/>
    </w:rPr>
  </w:style>
  <w:style w:type="paragraph" w:styleId="37">
    <w:name w:val="header"/>
    <w:basedOn w:val="1"/>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8">
    <w:name w:val="toc 1"/>
    <w:basedOn w:val="1"/>
    <w:next w:val="1"/>
    <w:uiPriority w:val="39"/>
    <w:pPr>
      <w:tabs>
        <w:tab w:val="left" w:pos="1260"/>
        <w:tab w:val="left" w:pos="1685"/>
        <w:tab w:val="right" w:leader="dot" w:pos="8400"/>
      </w:tabs>
      <w:spacing w:line="320" w:lineRule="exact"/>
      <w:ind w:firstLine="280" w:firstLineChars="100"/>
    </w:pPr>
  </w:style>
  <w:style w:type="paragraph" w:styleId="39">
    <w:name w:val="List Continue 4"/>
    <w:basedOn w:val="1"/>
    <w:uiPriority w:val="0"/>
    <w:pPr>
      <w:adjustRightInd w:val="0"/>
      <w:snapToGrid w:val="0"/>
      <w:spacing w:after="120" w:afterLines="0" w:afterAutospacing="0" w:line="360" w:lineRule="auto"/>
      <w:ind w:left="1680" w:leftChars="800"/>
    </w:pPr>
    <w:rPr>
      <w:sz w:val="24"/>
    </w:rPr>
  </w:style>
  <w:style w:type="paragraph" w:styleId="40">
    <w:name w:val="toc 4"/>
    <w:basedOn w:val="1"/>
    <w:next w:val="1"/>
    <w:uiPriority w:val="0"/>
    <w:pPr>
      <w:ind w:left="1260" w:leftChars="600"/>
    </w:pPr>
  </w:style>
  <w:style w:type="paragraph" w:styleId="41">
    <w:name w:val="footnote text"/>
    <w:basedOn w:val="1"/>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table of figures"/>
    <w:basedOn w:val="1"/>
    <w:next w:val="1"/>
    <w:uiPriority w:val="0"/>
    <w:pPr>
      <w:tabs>
        <w:tab w:val="right" w:leader="dot" w:pos="8640"/>
      </w:tabs>
      <w:spacing w:line="360" w:lineRule="auto"/>
      <w:ind w:left="400" w:hanging="400"/>
    </w:pPr>
    <w:rPr>
      <w:sz w:val="24"/>
    </w:rPr>
  </w:style>
  <w:style w:type="paragraph" w:styleId="46">
    <w:name w:val="toc 2"/>
    <w:basedOn w:val="1"/>
    <w:next w:val="1"/>
    <w:uiPriority w:val="39"/>
    <w:pPr>
      <w:tabs>
        <w:tab w:val="right" w:leader="dot" w:pos="8400"/>
      </w:tabs>
      <w:spacing w:line="440" w:lineRule="exact"/>
      <w:ind w:left="280" w:leftChars="100" w:rightChars="-91"/>
    </w:pPr>
  </w:style>
  <w:style w:type="paragraph" w:styleId="47">
    <w:name w:val="toc 9"/>
    <w:basedOn w:val="1"/>
    <w:next w:val="1"/>
    <w:uiPriority w:val="0"/>
    <w:pPr>
      <w:ind w:left="3360" w:leftChars="1600"/>
    </w:pPr>
  </w:style>
  <w:style w:type="paragraph" w:styleId="48">
    <w:name w:val="Body Text 2"/>
    <w:basedOn w:val="1"/>
    <w:uiPriority w:val="0"/>
    <w:pPr>
      <w:adjustRightInd w:val="0"/>
      <w:snapToGrid w:val="0"/>
      <w:spacing w:after="120" w:afterLines="0" w:afterAutospacing="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5">
    <w:name w:val="annotation subject"/>
    <w:basedOn w:val="20"/>
    <w:next w:val="20"/>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qFormat/>
    <w:uiPriority w:val="0"/>
    <w:pPr>
      <w:spacing w:after="120" w:afterLines="0" w:afterAutospacing="0" w:line="240" w:lineRule="auto"/>
      <w:ind w:left="420" w:leftChars="200" w:firstLine="420" w:firstLineChars="200"/>
    </w:pPr>
    <w:rPr>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rPr>
  </w:style>
  <w:style w:type="character" w:styleId="67">
    <w:name w:val="footnote reference"/>
    <w:qFormat/>
    <w:uiPriority w:val="0"/>
    <w:rPr>
      <w:position w:val="6"/>
      <w:sz w:val="14"/>
      <w:vertAlign w:val="superscript"/>
    </w:rPr>
  </w:style>
  <w:style w:type="character" w:customStyle="1" w:styleId="68">
    <w:name w:val="标题 2 Char"/>
    <w:link w:val="4"/>
    <w:qFormat/>
    <w:uiPriority w:val="0"/>
    <w:rPr>
      <w:rFonts w:ascii="宋体" w:hAnsi="宋体"/>
      <w:kern w:val="2"/>
      <w:sz w:val="28"/>
    </w:rPr>
  </w:style>
  <w:style w:type="character" w:customStyle="1" w:styleId="69">
    <w:name w:val="日期 Char"/>
    <w:link w:val="33"/>
    <w:qFormat/>
    <w:uiPriority w:val="0"/>
    <w:rPr>
      <w:kern w:val="2"/>
      <w:sz w:val="28"/>
    </w:rPr>
  </w:style>
  <w:style w:type="character" w:customStyle="1" w:styleId="70">
    <w:name w:val="样式 宋体"/>
    <w:qFormat/>
    <w:uiPriority w:val="0"/>
    <w:rPr>
      <w:rFonts w:ascii="宋体" w:hAnsi="宋体" w:eastAsia="宋体"/>
      <w:sz w:val="28"/>
    </w:rPr>
  </w:style>
  <w:style w:type="character" w:customStyle="1" w:styleId="71">
    <w:name w:val=" Char Char5"/>
    <w:qFormat/>
    <w:uiPriority w:val="0"/>
    <w:rPr>
      <w:rFonts w:ascii="Arial" w:hAnsi="Arial" w:eastAsia="宋体"/>
      <w:b/>
      <w:smallCaps/>
      <w:kern w:val="28"/>
      <w:sz w:val="36"/>
      <w:lang w:val="en-US" w:eastAsia="en-US"/>
    </w:rPr>
  </w:style>
  <w:style w:type="character" w:customStyle="1" w:styleId="72">
    <w:name w:val="top-det1"/>
    <w:qFormat/>
    <w:uiPriority w:val="0"/>
    <w:rPr>
      <w:b/>
      <w:color w:val="000000"/>
    </w:rPr>
  </w:style>
  <w:style w:type="character" w:customStyle="1" w:styleId="73">
    <w:name w:val="font1"/>
    <w:qFormat/>
    <w:uiPriority w:val="0"/>
    <w:rPr>
      <w:color w:val="000000"/>
      <w:sz w:val="18"/>
    </w:rPr>
  </w:style>
  <w:style w:type="character" w:customStyle="1" w:styleId="74">
    <w:name w:val="标书正文:  0.74 厘米 Char1"/>
    <w:qFormat/>
    <w:uiPriority w:val="0"/>
    <w:rPr>
      <w:rFonts w:eastAsia="宋体"/>
      <w:kern w:val="2"/>
      <w:sz w:val="24"/>
      <w:lang w:val="en-US" w:eastAsia="zh-CN"/>
    </w:rPr>
  </w:style>
  <w:style w:type="character" w:customStyle="1" w:styleId="75">
    <w:name w:val="小 Char"/>
    <w:qFormat/>
    <w:uiPriority w:val="0"/>
    <w:rPr>
      <w:rFonts w:ascii="宋体" w:hAnsi="Courier New" w:eastAsia="宋体"/>
      <w:kern w:val="2"/>
      <w:sz w:val="21"/>
      <w:lang w:val="en-US" w:eastAsia="zh-CN" w:bidi="ar-SA"/>
    </w:rPr>
  </w:style>
  <w:style w:type="character" w:customStyle="1" w:styleId="76">
    <w:name w:val=" Char Char"/>
    <w:qFormat/>
    <w:uiPriority w:val="0"/>
    <w:rPr>
      <w:rFonts w:ascii="宋体" w:hAnsi="宋体" w:eastAsia="宋体"/>
      <w:kern w:val="2"/>
      <w:sz w:val="24"/>
      <w:lang w:val="en-US" w:eastAsia="zh-CN" w:bidi="ar-SA"/>
    </w:rPr>
  </w:style>
  <w:style w:type="character" w:customStyle="1" w:styleId="77">
    <w:name w:val=" Char Char2"/>
    <w:qFormat/>
    <w:uiPriority w:val="0"/>
    <w:rPr>
      <w:rFonts w:eastAsia="宋体"/>
      <w:kern w:val="2"/>
      <w:sz w:val="18"/>
      <w:lang w:val="en-US" w:eastAsia="zh-CN"/>
    </w:rPr>
  </w:style>
  <w:style w:type="character" w:customStyle="1" w:styleId="78">
    <w:name w:val="v151"/>
    <w:qFormat/>
    <w:uiPriority w:val="0"/>
    <w:rPr>
      <w:sz w:val="18"/>
    </w:rPr>
  </w:style>
  <w:style w:type="character" w:customStyle="1" w:styleId="79">
    <w:name w:val="Table Text Char"/>
    <w:qFormat/>
    <w:uiPriority w:val="0"/>
    <w:rPr>
      <w:rFonts w:ascii="Arial" w:hAnsi="Arial"/>
      <w:kern w:val="2"/>
      <w:sz w:val="18"/>
      <w:lang w:val="en-US" w:eastAsia="zh-CN" w:bidi="ar-SA"/>
    </w:rPr>
  </w:style>
  <w:style w:type="character" w:customStyle="1" w:styleId="80">
    <w:name w:val="未命名11"/>
    <w:qFormat/>
    <w:uiPriority w:val="0"/>
    <w:rPr>
      <w:color w:val="77FFFF"/>
      <w:sz w:val="24"/>
    </w:rPr>
  </w:style>
  <w:style w:type="character" w:customStyle="1" w:styleId="81">
    <w:name w:val="Table Text Char Char Char Char"/>
    <w:qFormat/>
    <w:uiPriority w:val="0"/>
    <w:rPr>
      <w:rFonts w:ascii="Arial" w:hAnsi="Arial"/>
      <w:kern w:val="2"/>
      <w:sz w:val="18"/>
      <w:lang w:val="en-US" w:eastAsia="zh-CN" w:bidi="ar-SA"/>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正文 + 三号 Char"/>
    <w:qFormat/>
    <w:uiPriority w:val="0"/>
    <w:rPr>
      <w:rFonts w:eastAsia="宋体"/>
      <w:kern w:val="2"/>
      <w:sz w:val="21"/>
      <w:lang w:val="en-US" w:eastAsia="zh-CN"/>
    </w:rPr>
  </w:style>
  <w:style w:type="character" w:customStyle="1" w:styleId="84">
    <w:name w:val=" Char Char6"/>
    <w:qFormat/>
    <w:uiPriority w:val="0"/>
    <w:rPr>
      <w:rFonts w:ascii="仿宋_GB2312" w:eastAsia="仿宋_GB2312"/>
      <w:kern w:val="2"/>
      <w:sz w:val="32"/>
    </w:rPr>
  </w:style>
  <w:style w:type="character" w:customStyle="1" w:styleId="85">
    <w:name w:val="Table Text Char1 Char"/>
    <w:qFormat/>
    <w:uiPriority w:val="0"/>
    <w:rPr>
      <w:rFonts w:ascii="Arial" w:hAnsi="Arial"/>
      <w:kern w:val="2"/>
      <w:sz w:val="18"/>
      <w:lang w:val="en-US" w:eastAsia="zh-CN" w:bidi="ar-SA"/>
    </w:rPr>
  </w:style>
  <w:style w:type="character" w:customStyle="1" w:styleId="86">
    <w:name w:val="文字 Char"/>
    <w:link w:val="87"/>
    <w:qFormat/>
    <w:uiPriority w:val="0"/>
    <w:rPr>
      <w:rFonts w:ascii="宋体" w:eastAsia="宋体"/>
      <w:kern w:val="2"/>
      <w:sz w:val="28"/>
      <w:lang w:val="en-US" w:eastAsia="zh-CN" w:bidi="ar-SA"/>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 Char Char7"/>
    <w:qFormat/>
    <w:uiPriority w:val="0"/>
    <w:rPr>
      <w:rFonts w:ascii="宋体" w:hAnsi="宋体" w:eastAsia="宋体"/>
      <w:kern w:val="2"/>
      <w:sz w:val="28"/>
    </w:rPr>
  </w:style>
  <w:style w:type="character" w:customStyle="1" w:styleId="89">
    <w:name w:val="content-white1"/>
    <w:qFormat/>
    <w:uiPriority w:val="0"/>
    <w:rPr>
      <w:rFonts w:ascii="_x000B__x000C_" w:hAnsi="_x000B__x000C_"/>
      <w:color w:val="auto"/>
      <w:sz w:val="18"/>
      <w:u w:val="none"/>
    </w:rPr>
  </w:style>
  <w:style w:type="character" w:customStyle="1" w:styleId="90">
    <w:name w:val=" Char Char3"/>
    <w:qFormat/>
    <w:uiPriority w:val="0"/>
    <w:rPr>
      <w:rFonts w:eastAsia="宋体"/>
      <w:kern w:val="2"/>
      <w:sz w:val="18"/>
      <w:lang w:val="en-US" w:eastAsia="zh-CN"/>
    </w:rPr>
  </w:style>
  <w:style w:type="character" w:customStyle="1" w:styleId="91">
    <w:name w:val="crowed11"/>
    <w:qFormat/>
    <w:uiPriority w:val="0"/>
    <w:rPr>
      <w:rFonts w:hint="default" w:ascii="_x000B__x000C_" w:hAnsi="_x000B__x000C_"/>
      <w:sz w:val="24"/>
    </w:rPr>
  </w:style>
  <w:style w:type="character" w:customStyle="1" w:styleId="92">
    <w:name w:val=" Char Char4"/>
    <w:qFormat/>
    <w:uiPriority w:val="0"/>
    <w:rPr>
      <w:rFonts w:eastAsia="宋体"/>
      <w:b/>
      <w:kern w:val="2"/>
      <w:sz w:val="21"/>
      <w:lang w:val="en-US" w:eastAsia="zh-CN"/>
    </w:rPr>
  </w:style>
  <w:style w:type="paragraph" w:customStyle="1" w:styleId="93">
    <w:name w:val="正文表格"/>
    <w:basedOn w:val="1"/>
    <w:qFormat/>
    <w:uiPriority w:val="0"/>
    <w:pPr>
      <w:adjustRightInd w:val="0"/>
      <w:spacing w:before="40" w:beforeLines="0" w:beforeAutospacing="0" w:after="40" w:afterLines="0" w:afterAutospacing="0"/>
    </w:pPr>
    <w:rPr>
      <w:sz w:val="24"/>
    </w:rPr>
  </w:style>
  <w:style w:type="paragraph" w:customStyle="1" w:styleId="94">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9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9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98">
    <w:name w:val="编号正文"/>
    <w:basedOn w:val="99"/>
    <w:qFormat/>
    <w:uiPriority w:val="0"/>
    <w:pPr>
      <w:snapToGrid/>
      <w:spacing w:line="360" w:lineRule="auto"/>
      <w:ind w:left="1407" w:hanging="1047"/>
      <w:jc w:val="left"/>
    </w:pPr>
    <w:rPr>
      <w:rFonts w:eastAsia="仿宋_GB2312"/>
    </w:rPr>
  </w:style>
  <w:style w:type="paragraph" w:customStyle="1" w:styleId="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0">
    <w:name w:val="关键词"/>
    <w:basedOn w:val="1"/>
    <w:next w:val="1"/>
    <w:uiPriority w:val="0"/>
    <w:pPr>
      <w:spacing w:line="360" w:lineRule="auto"/>
    </w:pPr>
    <w:rPr>
      <w:rFonts w:eastAsia="黑体"/>
      <w:sz w:val="20"/>
    </w:rPr>
  </w:style>
  <w:style w:type="paragraph" w:customStyle="1" w:styleId="101">
    <w:name w:val="默认段落字体 Para Char Char Char Char Char Char Char"/>
    <w:basedOn w:val="1"/>
    <w:uiPriority w:val="0"/>
    <w:rPr>
      <w:rFonts w:ascii="Tahoma" w:hAnsi="Tahoma"/>
      <w:sz w:val="24"/>
    </w:rPr>
  </w:style>
  <w:style w:type="paragraph" w:customStyle="1" w:styleId="102">
    <w:name w:val="Char1 Char Char Char"/>
    <w:basedOn w:val="1"/>
    <w:uiPriority w:val="0"/>
    <w:rPr>
      <w:rFonts w:ascii="Tahoma" w:hAnsi="Tahoma"/>
      <w:sz w:val="21"/>
    </w:rPr>
  </w:style>
  <w:style w:type="paragraph" w:customStyle="1" w:styleId="103">
    <w:name w:val="标书正文:  0.74 厘米"/>
    <w:basedOn w:val="1"/>
    <w:uiPriority w:val="0"/>
    <w:pPr>
      <w:snapToGrid w:val="0"/>
      <w:spacing w:line="360" w:lineRule="auto"/>
      <w:ind w:firstLine="420"/>
    </w:pPr>
    <w:rPr>
      <w:rFonts w:eastAsia="宋体"/>
      <w:kern w:val="2"/>
      <w:sz w:val="24"/>
      <w:lang w:val="en-US" w:eastAsia="zh-CN"/>
    </w:rPr>
  </w:style>
  <w:style w:type="paragraph" w:customStyle="1" w:styleId="104">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05">
    <w:name w:val="样式 标题 6第五层条 + 三号 段前: 0.5 行"/>
    <w:basedOn w:val="8"/>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06">
    <w:name w:val="标题无"/>
    <w:basedOn w:val="1"/>
    <w:uiPriority w:val="0"/>
    <w:pPr>
      <w:spacing w:line="360" w:lineRule="auto"/>
    </w:pPr>
    <w:rPr>
      <w:sz w:val="24"/>
    </w:rPr>
  </w:style>
  <w:style w:type="paragraph" w:customStyle="1" w:styleId="107">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08">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109">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10">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11">
    <w:name w:val=" Char Char Char Char Char Char Char"/>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112">
    <w:name w:val="_"/>
    <w:basedOn w:val="1"/>
    <w:uiPriority w:val="0"/>
    <w:pPr>
      <w:adjustRightInd w:val="0"/>
      <w:spacing w:line="360" w:lineRule="auto"/>
      <w:ind w:left="480" w:firstLine="200" w:firstLineChars="200"/>
      <w:textAlignment w:val="baseline"/>
    </w:pPr>
    <w:rPr>
      <w:kern w:val="0"/>
      <w:sz w:val="24"/>
    </w:rPr>
  </w:style>
  <w:style w:type="paragraph" w:customStyle="1" w:styleId="113">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4">
    <w:name w:val="文本框样式1"/>
    <w:basedOn w:val="1"/>
    <w:uiPriority w:val="0"/>
    <w:pPr>
      <w:adjustRightInd w:val="0"/>
      <w:snapToGrid w:val="0"/>
      <w:spacing w:before="60" w:beforeLines="0" w:beforeAutospacing="0" w:line="180" w:lineRule="exact"/>
      <w:jc w:val="center"/>
    </w:pPr>
    <w:rPr>
      <w:sz w:val="21"/>
    </w:rPr>
  </w:style>
  <w:style w:type="paragraph" w:customStyle="1" w:styleId="115">
    <w:name w:val="列表项目"/>
    <w:basedOn w:val="1"/>
    <w:uiPriority w:val="0"/>
    <w:pPr>
      <w:numPr>
        <w:ilvl w:val="0"/>
        <w:numId w:val="7"/>
      </w:numPr>
      <w:tabs>
        <w:tab w:val="left" w:pos="420"/>
        <w:tab w:val="clear" w:pos="980"/>
      </w:tabs>
      <w:spacing w:line="288" w:lineRule="auto"/>
      <w:ind w:left="840" w:leftChars="200" w:hanging="420" w:hangingChars="200"/>
    </w:pPr>
    <w:rPr>
      <w:sz w:val="21"/>
    </w:rPr>
  </w:style>
  <w:style w:type="paragraph" w:customStyle="1" w:styleId="116">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17">
    <w:name w:val="章标题"/>
    <w:next w:val="1"/>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8">
    <w:name w:val=" Char1"/>
    <w:basedOn w:val="1"/>
    <w:uiPriority w:val="0"/>
    <w:rPr>
      <w:sz w:val="21"/>
    </w:rPr>
  </w:style>
  <w:style w:type="paragraph" w:customStyle="1" w:styleId="119">
    <w:name w:val="1.正文"/>
    <w:basedOn w:val="1"/>
    <w:uiPriority w:val="0"/>
    <w:pPr>
      <w:spacing w:line="360" w:lineRule="auto"/>
      <w:ind w:left="540" w:leftChars="225" w:firstLine="540" w:firstLineChars="225"/>
    </w:pPr>
    <w:rPr>
      <w:sz w:val="24"/>
    </w:rPr>
  </w:style>
  <w:style w:type="paragraph" w:customStyle="1" w:styleId="120">
    <w:name w:val="Table Tex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样式 首行缩进:  0.74 厘米"/>
    <w:basedOn w:val="1"/>
    <w:uiPriority w:val="0"/>
    <w:pPr>
      <w:spacing w:line="360" w:lineRule="auto"/>
      <w:ind w:firstLine="420"/>
    </w:pPr>
    <w:rPr>
      <w:sz w:val="24"/>
    </w:rPr>
  </w:style>
  <w:style w:type="paragraph" w:customStyle="1" w:styleId="122">
    <w:name w:val="Item Lis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23">
    <w:name w:val="标准正文"/>
    <w:basedOn w:val="24"/>
    <w:uiPriority w:val="0"/>
    <w:pPr>
      <w:spacing w:before="60" w:beforeLines="0" w:beforeAutospacing="0" w:after="60" w:afterLines="0" w:afterAutospacing="0" w:line="360" w:lineRule="auto"/>
      <w:ind w:left="0" w:firstLine="482"/>
    </w:pPr>
    <w:rPr>
      <w:rFonts w:ascii="Arial" w:hAnsi="Arial"/>
      <w:sz w:val="24"/>
    </w:rPr>
  </w:style>
  <w:style w:type="paragraph" w:customStyle="1" w:styleId="124">
    <w:name w:val="标题3——2"/>
    <w:basedOn w:val="5"/>
    <w:next w:val="56"/>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25">
    <w:name w:val="二级列表"/>
    <w:basedOn w:val="126"/>
    <w:next w:val="126"/>
    <w:uiPriority w:val="0"/>
    <w:pPr>
      <w:tabs>
        <w:tab w:val="left" w:pos="2120"/>
      </w:tabs>
      <w:ind w:firstLine="0" w:firstLineChars="0"/>
    </w:pPr>
    <w:rPr>
      <w:b/>
    </w:rPr>
  </w:style>
  <w:style w:type="paragraph" w:customStyle="1" w:styleId="126">
    <w:name w:val="段落正文"/>
    <w:basedOn w:val="1"/>
    <w:uiPriority w:val="0"/>
    <w:pPr>
      <w:spacing w:before="156" w:beforeLines="50" w:beforeAutospacing="0" w:line="360" w:lineRule="auto"/>
      <w:ind w:firstLine="200" w:firstLineChars="200"/>
    </w:pPr>
    <w:rPr>
      <w:spacing w:val="2"/>
      <w:sz w:val="24"/>
    </w:rPr>
  </w:style>
  <w:style w:type="paragraph" w:customStyle="1" w:styleId="127">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28">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29">
    <w:name w:val="简单回函地址"/>
    <w:basedOn w:val="1"/>
    <w:uiPriority w:val="0"/>
    <w:pPr>
      <w:adjustRightInd w:val="0"/>
      <w:snapToGrid w:val="0"/>
      <w:spacing w:line="360" w:lineRule="auto"/>
    </w:pPr>
    <w:rPr>
      <w:sz w:val="24"/>
    </w:rPr>
  </w:style>
  <w:style w:type="paragraph" w:customStyle="1" w:styleId="130">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1">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32">
    <w:name w:val="1"/>
    <w:basedOn w:val="1"/>
    <w:uiPriority w:val="0"/>
    <w:rPr>
      <w:rFonts w:ascii="Tahoma" w:hAnsi="Tahoma"/>
      <w:sz w:val="24"/>
    </w:rPr>
  </w:style>
  <w:style w:type="paragraph" w:customStyle="1" w:styleId="133">
    <w:name w:val="Title - Revision"/>
    <w:basedOn w:val="54"/>
    <w:uiPriority w:val="0"/>
    <w:pPr>
      <w:spacing w:before="720" w:beforeLines="0" w:beforeAutospacing="0"/>
    </w:pPr>
  </w:style>
  <w:style w:type="paragraph" w:customStyle="1" w:styleId="134">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35">
    <w:name w:val="样式1xz"/>
    <w:basedOn w:val="1"/>
    <w:uiPriority w:val="0"/>
    <w:pPr>
      <w:tabs>
        <w:tab w:val="left" w:pos="1050"/>
        <w:tab w:val="right" w:leader="dot" w:pos="8296"/>
      </w:tabs>
    </w:pPr>
    <w:rPr>
      <w:caps/>
      <w:spacing w:val="20"/>
      <w:sz w:val="24"/>
    </w:rPr>
  </w:style>
  <w:style w:type="paragraph" w:customStyle="1" w:styleId="136">
    <w:name w:val="Style Heading 3h3Heading 3 - oldLevel 3 HeadH3level_3PIM 3se..."/>
    <w:basedOn w:val="5"/>
    <w:uiPriority w:val="0"/>
    <w:pPr>
      <w:numPr>
        <w:ilvl w:val="2"/>
        <w:numId w:val="10"/>
      </w:numPr>
      <w:jc w:val="both"/>
    </w:pPr>
    <w:rPr>
      <w:sz w:val="32"/>
    </w:rPr>
  </w:style>
  <w:style w:type="paragraph" w:customStyle="1" w:styleId="137">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38">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9">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40">
    <w:name w:val="Char"/>
    <w:basedOn w:val="1"/>
    <w:uiPriority w:val="0"/>
    <w:pPr>
      <w:widowControl/>
      <w:spacing w:line="400" w:lineRule="exact"/>
      <w:jc w:val="center"/>
    </w:pPr>
    <w:rPr>
      <w:sz w:val="24"/>
    </w:rPr>
  </w:style>
  <w:style w:type="paragraph" w:customStyle="1" w:styleId="141">
    <w:name w:val="文本1"/>
    <w:basedOn w:val="1"/>
    <w:uiPriority w:val="0"/>
    <w:pPr>
      <w:adjustRightInd w:val="0"/>
      <w:spacing w:line="312" w:lineRule="atLeast"/>
      <w:jc w:val="center"/>
      <w:textAlignment w:val="baseline"/>
    </w:pPr>
    <w:rPr>
      <w:kern w:val="0"/>
      <w:sz w:val="18"/>
    </w:rPr>
  </w:style>
  <w:style w:type="paragraph" w:customStyle="1" w:styleId="142">
    <w:name w:val="样式 标题 1 + 居中 段前: 6 磅 段后: 6 磅 行距: 1.5 倍行距"/>
    <w:basedOn w:val="3"/>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43">
    <w:name w:val="00"/>
    <w:basedOn w:val="1"/>
    <w:uiPriority w:val="0"/>
    <w:pPr>
      <w:autoSpaceDE w:val="0"/>
      <w:autoSpaceDN w:val="0"/>
      <w:adjustRightInd w:val="0"/>
      <w:jc w:val="left"/>
    </w:pPr>
    <w:rPr>
      <w:rFonts w:ascii="黑体" w:eastAsia="黑体"/>
      <w:b/>
      <w:kern w:val="0"/>
      <w:sz w:val="20"/>
    </w:rPr>
  </w:style>
  <w:style w:type="paragraph" w:customStyle="1" w:styleId="144">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145">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46">
    <w:name w:val="样式 标题 1章标题Heading 0Section HeadPIM 1H1h11st levell11H1..."/>
    <w:basedOn w:val="3"/>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47">
    <w:name w:val="样式3"/>
    <w:basedOn w:val="3"/>
    <w:next w:val="3"/>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148">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49">
    <w:name w:val=" Char1 Char Char Char"/>
    <w:basedOn w:val="1"/>
    <w:uiPriority w:val="0"/>
    <w:rPr>
      <w:rFonts w:ascii="Tahoma" w:hAnsi="Tahoma"/>
      <w:sz w:val="24"/>
    </w:rPr>
  </w:style>
  <w:style w:type="paragraph" w:customStyle="1" w:styleId="150">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51">
    <w:name w:val="bt"/>
    <w:basedOn w:val="1"/>
    <w:next w:val="23"/>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52">
    <w:name w:val="操作步骤"/>
    <w:basedOn w:val="1"/>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3">
    <w:name w:val="样式1"/>
    <w:basedOn w:val="6"/>
    <w:uiPriority w:val="0"/>
    <w:pPr>
      <w:spacing w:before="500" w:after="260" w:line="560" w:lineRule="atLeast"/>
    </w:pPr>
  </w:style>
  <w:style w:type="paragraph" w:customStyle="1" w:styleId="154">
    <w:name w:val=" Char"/>
    <w:basedOn w:val="1"/>
    <w:uiPriority w:val="0"/>
    <w:pPr>
      <w:spacing w:line="240" w:lineRule="atLeast"/>
      <w:ind w:left="420" w:firstLine="420"/>
    </w:pPr>
    <w:rPr>
      <w:kern w:val="0"/>
      <w:sz w:val="21"/>
    </w:rPr>
  </w:style>
  <w:style w:type="paragraph" w:customStyle="1" w:styleId="155">
    <w:name w:val="正文格式 Char"/>
    <w:basedOn w:val="1"/>
    <w:uiPriority w:val="0"/>
    <w:pPr>
      <w:widowControl/>
      <w:adjustRightInd w:val="0"/>
      <w:spacing w:line="440" w:lineRule="atLeast"/>
      <w:ind w:firstLine="510"/>
      <w:textAlignment w:val="baseline"/>
    </w:pPr>
    <w:rPr>
      <w:kern w:val="0"/>
      <w:sz w:val="24"/>
    </w:rPr>
  </w:style>
  <w:style w:type="paragraph" w:customStyle="1" w:styleId="156">
    <w:name w:val="没有缩进（为图形使用）"/>
    <w:basedOn w:val="1"/>
    <w:uiPriority w:val="0"/>
    <w:pPr>
      <w:spacing w:before="120" w:beforeLines="0" w:beforeAutospacing="0" w:after="120" w:afterLines="0" w:afterAutospacing="0" w:line="360" w:lineRule="auto"/>
    </w:pPr>
    <w:rPr>
      <w:sz w:val="24"/>
    </w:rPr>
  </w:style>
  <w:style w:type="paragraph" w:customStyle="1" w:styleId="157">
    <w:name w:val="样式 宋体 五号 行距: 单倍行距"/>
    <w:basedOn w:val="1"/>
    <w:uiPriority w:val="0"/>
    <w:pPr>
      <w:adjustRightInd w:val="0"/>
      <w:jc w:val="left"/>
    </w:pPr>
    <w:rPr>
      <w:rFonts w:ascii="宋体" w:hAnsi="宋体"/>
      <w:kern w:val="0"/>
      <w:sz w:val="21"/>
    </w:rPr>
  </w:style>
  <w:style w:type="paragraph" w:customStyle="1" w:styleId="158">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59">
    <w:name w:val="摘要"/>
    <w:basedOn w:val="1"/>
    <w:next w:val="4"/>
    <w:uiPriority w:val="0"/>
    <w:pPr>
      <w:spacing w:line="360" w:lineRule="auto"/>
    </w:pPr>
    <w:rPr>
      <w:rFonts w:eastAsia="黑体"/>
      <w:sz w:val="20"/>
    </w:rPr>
  </w:style>
  <w:style w:type="paragraph" w:customStyle="1" w:styleId="160">
    <w:name w:val="图片文字"/>
    <w:basedOn w:val="1"/>
    <w:uiPriority w:val="0"/>
    <w:pPr>
      <w:spacing w:line="240" w:lineRule="atLeast"/>
      <w:jc w:val="center"/>
    </w:pPr>
    <w:rPr>
      <w:sz w:val="21"/>
    </w:rPr>
  </w:style>
  <w:style w:type="paragraph" w:customStyle="1" w:styleId="161">
    <w:name w:val="首行缩进 1"/>
    <w:basedOn w:val="1"/>
    <w:uiPriority w:val="0"/>
    <w:pPr>
      <w:spacing w:after="120" w:afterLines="0" w:afterAutospacing="0" w:line="360" w:lineRule="auto"/>
      <w:ind w:firstLine="200" w:firstLineChars="200"/>
    </w:pPr>
    <w:rPr>
      <w:sz w:val="24"/>
    </w:rPr>
  </w:style>
  <w:style w:type="paragraph" w:customStyle="1" w:styleId="162">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63">
    <w:name w:val="表号"/>
    <w:basedOn w:val="1"/>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4">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65">
    <w:name w:val="Table Text Char Char Char"/>
    <w:uiPriority w:val="0"/>
    <w:pPr>
      <w:snapToGrid w:val="0"/>
      <w:spacing w:before="80" w:after="80"/>
    </w:pPr>
    <w:rPr>
      <w:rFonts w:ascii="Arial" w:hAnsi="Arial" w:eastAsia="宋体" w:cs="Times New Roman"/>
      <w:kern w:val="2"/>
      <w:sz w:val="18"/>
      <w:lang w:val="en-US" w:eastAsia="zh-CN" w:bidi="ar-SA"/>
    </w:rPr>
  </w:style>
  <w:style w:type="paragraph" w:customStyle="1" w:styleId="166">
    <w:name w:val="表格文本"/>
    <w:uiPriority w:val="0"/>
    <w:pPr>
      <w:tabs>
        <w:tab w:val="decimal" w:pos="0"/>
      </w:tabs>
    </w:pPr>
    <w:rPr>
      <w:rFonts w:ascii="Arial" w:hAnsi="Arial" w:eastAsia="宋体" w:cs="Times New Roman"/>
      <w:sz w:val="21"/>
      <w:lang w:val="en-US" w:eastAsia="zh-CN" w:bidi="ar-SA"/>
    </w:rPr>
  </w:style>
  <w:style w:type="paragraph" w:customStyle="1" w:styleId="167">
    <w:name w:val="默认段落字体 Para Char Char Char Char Char Char Char Char Char1 Char Char Char Char"/>
    <w:basedOn w:val="1"/>
    <w:uiPriority w:val="0"/>
    <w:rPr>
      <w:rFonts w:ascii="Tahoma" w:hAnsi="Tahoma"/>
      <w:sz w:val="24"/>
    </w:rPr>
  </w:style>
  <w:style w:type="paragraph" w:customStyle="1" w:styleId="168">
    <w:name w:val="样式 正文首行缩进 2 + 首行缩进:  2 字符"/>
    <w:basedOn w:val="1"/>
    <w:uiPriority w:val="0"/>
    <w:pPr>
      <w:numPr>
        <w:ilvl w:val="0"/>
        <w:numId w:val="13"/>
      </w:numPr>
      <w:adjustRightInd w:val="0"/>
      <w:snapToGrid w:val="0"/>
      <w:spacing w:line="360" w:lineRule="auto"/>
    </w:pPr>
    <w:rPr>
      <w:rFonts w:ascii="Arial" w:hAnsi="Arial"/>
      <w:b/>
      <w:sz w:val="24"/>
    </w:rPr>
  </w:style>
  <w:style w:type="paragraph" w:customStyle="1" w:styleId="169">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70">
    <w:name w:val="样式 行距: 1.5 倍行距1"/>
    <w:basedOn w:val="1"/>
    <w:uiPriority w:val="0"/>
    <w:pPr>
      <w:snapToGrid w:val="0"/>
    </w:pPr>
    <w:rPr>
      <w:sz w:val="21"/>
    </w:rPr>
  </w:style>
  <w:style w:type="paragraph" w:customStyle="1" w:styleId="171">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72">
    <w:name w:val="内容标题"/>
    <w:basedOn w:val="18"/>
    <w:uiPriority w:val="0"/>
    <w:rPr>
      <w:rFonts w:ascii="Tahoma" w:hAnsi="Tahoma"/>
      <w:sz w:val="24"/>
    </w:rPr>
  </w:style>
  <w:style w:type="paragraph" w:customStyle="1" w:styleId="173">
    <w:name w:val="样式2"/>
    <w:basedOn w:val="6"/>
    <w:uiPriority w:val="0"/>
    <w:pPr>
      <w:numPr>
        <w:ilvl w:val="0"/>
        <w:numId w:val="14"/>
      </w:numPr>
      <w:spacing w:line="400" w:lineRule="exact"/>
      <w:jc w:val="center"/>
      <w:outlineLvl w:val="0"/>
    </w:pPr>
    <w:rPr>
      <w:b w:val="0"/>
      <w:sz w:val="44"/>
    </w:rPr>
  </w:style>
  <w:style w:type="paragraph" w:customStyle="1" w:styleId="174">
    <w:name w:val="标题2"/>
    <w:basedOn w:val="4"/>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175">
    <w:name w:val="IN Feature"/>
    <w:next w:val="96"/>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 Char Char1 Char"/>
    <w:basedOn w:val="1"/>
    <w:uiPriority w:val="0"/>
    <w:rPr>
      <w:rFonts w:ascii="Tahoma" w:hAnsi="Tahoma"/>
      <w:sz w:val="24"/>
      <w:szCs w:val="24"/>
    </w:rPr>
  </w:style>
  <w:style w:type="paragraph" w:customStyle="1" w:styleId="178">
    <w:name w:val="Title - Date"/>
    <w:basedOn w:val="54"/>
    <w:next w:val="1"/>
    <w:uiPriority w:val="0"/>
    <w:pPr>
      <w:spacing w:before="240" w:beforeLines="0" w:beforeAutospacing="0" w:after="720" w:afterLines="0" w:afterAutospacing="0"/>
    </w:pPr>
    <w:rPr>
      <w:sz w:val="28"/>
    </w:rPr>
  </w:style>
  <w:style w:type="paragraph" w:customStyle="1" w:styleId="179">
    <w:name w:val="Char Char1 Char Char Char Char Char Char Char Char"/>
    <w:basedOn w:val="1"/>
    <w:uiPriority w:val="0"/>
    <w:pPr>
      <w:widowControl/>
      <w:spacing w:after="160" w:afterLines="0" w:line="240" w:lineRule="exact"/>
      <w:jc w:val="left"/>
    </w:pPr>
    <w:rPr>
      <w:rFonts w:ascii="Verdana" w:hAnsi="Verdana"/>
      <w:kern w:val="0"/>
      <w:sz w:val="20"/>
      <w:lang w:eastAsia="en-US"/>
    </w:rPr>
  </w:style>
  <w:style w:type="paragraph" w:customStyle="1" w:styleId="180">
    <w:name w:val="文章正文"/>
    <w:basedOn w:val="1"/>
    <w:uiPriority w:val="0"/>
    <w:pPr>
      <w:ind w:firstLine="560" w:firstLineChars="200"/>
    </w:pPr>
    <w:rPr>
      <w:rFonts w:ascii="仿宋_GB2312" w:hAnsi="宋体" w:eastAsia="仿宋_GB2312"/>
      <w:color w:val="000000"/>
    </w:rPr>
  </w:style>
  <w:style w:type="paragraph" w:customStyle="1" w:styleId="181">
    <w:name w:val=" Char Char Char"/>
    <w:basedOn w:val="1"/>
    <w:uiPriority w:val="0"/>
    <w:rPr>
      <w:rFonts w:ascii="Tahoma" w:hAnsi="Tahoma"/>
      <w:sz w:val="24"/>
    </w:rPr>
  </w:style>
  <w:style w:type="paragraph" w:customStyle="1" w:styleId="182">
    <w:name w:val="样式4"/>
    <w:basedOn w:val="6"/>
    <w:uiPriority w:val="0"/>
    <w:pPr>
      <w:numPr>
        <w:ilvl w:val="0"/>
        <w:numId w:val="0"/>
      </w:numPr>
      <w:adjustRightInd w:val="0"/>
      <w:snapToGrid w:val="0"/>
      <w:spacing w:before="280" w:beforeLines="0" w:beforeAutospacing="0" w:line="372" w:lineRule="auto"/>
    </w:pPr>
  </w:style>
  <w:style w:type="paragraph" w:customStyle="1" w:styleId="183">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84">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5">
    <w:name w:val="正文（首行不缩进）"/>
    <w:basedOn w:val="1"/>
    <w:uiPriority w:val="0"/>
    <w:pPr>
      <w:autoSpaceDE w:val="0"/>
      <w:autoSpaceDN w:val="0"/>
      <w:adjustRightInd w:val="0"/>
      <w:spacing w:line="360" w:lineRule="auto"/>
      <w:jc w:val="left"/>
    </w:pPr>
    <w:rPr>
      <w:kern w:val="0"/>
      <w:sz w:val="21"/>
    </w:rPr>
  </w:style>
  <w:style w:type="paragraph" w:customStyle="1" w:styleId="186">
    <w:name w:val="Item Step in Table"/>
    <w:uiPriority w:val="0"/>
    <w:pPr>
      <w:numPr>
        <w:ilvl w:val="0"/>
        <w:numId w:val="15"/>
      </w:numPr>
      <w:spacing w:before="40" w:after="40"/>
      <w:jc w:val="both"/>
    </w:pPr>
    <w:rPr>
      <w:rFonts w:ascii="Arial" w:hAnsi="Arial" w:eastAsia="宋体" w:cs="Times New Roman"/>
      <w:sz w:val="18"/>
      <w:lang w:val="en-US" w:eastAsia="zh-CN" w:bidi="ar-SA"/>
    </w:rPr>
  </w:style>
  <w:style w:type="paragraph" w:customStyle="1" w:styleId="187">
    <w:name w:val="_Style 186"/>
    <w:uiPriority w:val="0"/>
    <w:rPr>
      <w:rFonts w:ascii="Times New Roman" w:hAnsi="Times New Roman" w:eastAsia="宋体" w:cs="Times New Roman"/>
      <w:kern w:val="2"/>
      <w:sz w:val="21"/>
      <w:lang w:val="en-US" w:eastAsia="zh-CN" w:bidi="ar-SA"/>
    </w:rPr>
  </w:style>
  <w:style w:type="paragraph" w:customStyle="1" w:styleId="188">
    <w:name w:val="附录1"/>
    <w:basedOn w:val="1"/>
    <w:next w:val="1"/>
    <w:uiPriority w:val="0"/>
    <w:pPr>
      <w:tabs>
        <w:tab w:val="left" w:pos="1304"/>
      </w:tabs>
      <w:ind w:left="425" w:hanging="425"/>
      <w:outlineLvl w:val="0"/>
    </w:pPr>
    <w:rPr>
      <w:rFonts w:ascii="黑体" w:hAnsi="黑体" w:eastAsia="黑体"/>
      <w:b/>
      <w:sz w:val="44"/>
    </w:rPr>
  </w:style>
  <w:style w:type="paragraph" w:customStyle="1" w:styleId="189">
    <w:name w:val=" Char Char Char Char Char"/>
    <w:basedOn w:val="1"/>
    <w:uiPriority w:val="0"/>
    <w:pPr>
      <w:numPr>
        <w:ilvl w:val="0"/>
        <w:numId w:val="10"/>
      </w:numPr>
    </w:pPr>
    <w:rPr>
      <w:rFonts w:ascii="Tahoma" w:hAnsi="Tahoma"/>
      <w:sz w:val="24"/>
    </w:rPr>
  </w:style>
  <w:style w:type="paragraph" w:customStyle="1" w:styleId="190">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1">
    <w:name w:val="表格内文字"/>
    <w:basedOn w:val="31"/>
    <w:uiPriority w:val="0"/>
    <w:pPr>
      <w:snapToGrid/>
      <w:spacing w:line="240" w:lineRule="auto"/>
    </w:pPr>
    <w:rPr>
      <w:color w:val="000000"/>
      <w:lang w:val="en-GB"/>
    </w:rPr>
  </w:style>
  <w:style w:type="paragraph" w:customStyle="1" w:styleId="192">
    <w:name w:val="正文1"/>
    <w:basedOn w:val="1"/>
    <w:uiPriority w:val="0"/>
    <w:pPr>
      <w:spacing w:line="300" w:lineRule="auto"/>
      <w:ind w:firstLine="200" w:firstLineChars="200"/>
    </w:pPr>
    <w:rPr>
      <w:sz w:val="24"/>
    </w:rPr>
  </w:style>
  <w:style w:type="paragraph" w:customStyle="1" w:styleId="193">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4">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表文字"/>
    <w:uiPriority w:val="0"/>
    <w:rPr>
      <w:rFonts w:ascii="宋体" w:hAnsi="Times New Roman" w:eastAsia="宋体" w:cs="Times New Roman"/>
      <w:kern w:val="2"/>
      <w:lang w:val="en-US" w:eastAsia="zh-CN" w:bidi="ar-SA"/>
    </w:rPr>
  </w:style>
  <w:style w:type="paragraph" w:customStyle="1" w:styleId="196">
    <w:name w:val="可研正文"/>
    <w:basedOn w:val="23"/>
    <w:uiPriority w:val="0"/>
    <w:pPr>
      <w:adjustRightInd w:val="0"/>
      <w:snapToGrid w:val="0"/>
      <w:spacing w:line="440" w:lineRule="exact"/>
      <w:ind w:firstLine="567"/>
    </w:pPr>
    <w:rPr>
      <w:sz w:val="28"/>
    </w:rPr>
  </w:style>
  <w:style w:type="paragraph" w:customStyle="1" w:styleId="197">
    <w:name w:val="CSS1级正文 Char"/>
    <w:basedOn w:val="23"/>
    <w:uiPriority w:val="0"/>
    <w:pPr>
      <w:adjustRightInd w:val="0"/>
      <w:snapToGrid w:val="0"/>
      <w:spacing w:line="360" w:lineRule="auto"/>
      <w:ind w:firstLine="480"/>
    </w:pPr>
    <w:rPr>
      <w:rFonts w:ascii="Times New Roman" w:eastAsia="宋体"/>
      <w:sz w:val="24"/>
    </w:rPr>
  </w:style>
  <w:style w:type="paragraph" w:customStyle="1" w:styleId="198">
    <w:name w:val="正文 + 三号"/>
    <w:basedOn w:val="1"/>
    <w:uiPriority w:val="0"/>
    <w:rPr>
      <w:rFonts w:eastAsia="宋体"/>
      <w:kern w:val="2"/>
      <w:sz w:val="21"/>
      <w:lang w:val="en-US" w:eastAsia="zh-CN"/>
    </w:rPr>
  </w:style>
  <w:style w:type="paragraph" w:customStyle="1" w:styleId="199">
    <w:name w:val="表头文本"/>
    <w:uiPriority w:val="0"/>
    <w:pPr>
      <w:jc w:val="center"/>
    </w:pPr>
    <w:rPr>
      <w:rFonts w:ascii="Arial" w:hAnsi="Arial" w:eastAsia="宋体" w:cs="Times New Roman"/>
      <w:b/>
      <w:sz w:val="21"/>
      <w:lang w:val="en-US" w:eastAsia="zh-CN" w:bidi="ar-SA"/>
    </w:rPr>
  </w:style>
  <w:style w:type="paragraph" w:customStyle="1" w:styleId="200">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201">
    <w:name w:val="Table Contents"/>
    <w:basedOn w:val="23"/>
    <w:uiPriority w:val="0"/>
    <w:pPr>
      <w:suppressAutoHyphens/>
      <w:jc w:val="left"/>
    </w:pPr>
    <w:rPr>
      <w:rFonts w:ascii="Times New Roman" w:eastAsia="Times New Roman"/>
      <w:kern w:val="0"/>
      <w:sz w:val="24"/>
    </w:rPr>
  </w:style>
  <w:style w:type="paragraph" w:customStyle="1" w:styleId="202">
    <w:name w:val=" Char Char 字元 字元 字元 Char Char Char Char"/>
    <w:basedOn w:val="1"/>
    <w:uiPriority w:val="0"/>
    <w:pPr>
      <w:adjustRightInd w:val="0"/>
      <w:spacing w:line="360" w:lineRule="auto"/>
    </w:pPr>
    <w:rPr>
      <w:kern w:val="0"/>
      <w:sz w:val="24"/>
    </w:rPr>
  </w:style>
  <w:style w:type="paragraph" w:customStyle="1" w:styleId="203">
    <w:name w:val="Char Char Char Char Char Char Char"/>
    <w:basedOn w:val="18"/>
    <w:uiPriority w:val="0"/>
    <w:rPr>
      <w:rFonts w:ascii="宋体" w:hAnsi="Tahoma"/>
    </w:rPr>
  </w:style>
  <w:style w:type="paragraph" w:customStyle="1" w:styleId="204">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205">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206">
    <w:name w:val="表头样式"/>
    <w:basedOn w:val="1"/>
    <w:uiPriority w:val="0"/>
    <w:pPr>
      <w:autoSpaceDE w:val="0"/>
      <w:autoSpaceDN w:val="0"/>
      <w:adjustRightInd w:val="0"/>
      <w:spacing w:line="360" w:lineRule="auto"/>
      <w:jc w:val="left"/>
    </w:pPr>
    <w:rPr>
      <w:b/>
      <w:kern w:val="0"/>
      <w:sz w:val="21"/>
    </w:rPr>
  </w:style>
  <w:style w:type="paragraph" w:customStyle="1" w:styleId="207">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09">
    <w:name w:val="样式 正文缩进正文（首行缩进两字）表正文正文非缩进特点标题4段1 + 首行缩进:  2 字符"/>
    <w:basedOn w:val="16"/>
    <w:uiPriority w:val="0"/>
    <w:pPr>
      <w:ind w:firstLine="480" w:firstLineChars="200"/>
    </w:pPr>
  </w:style>
  <w:style w:type="paragraph" w:customStyle="1" w:styleId="210">
    <w:name w:val="Note"/>
    <w:basedOn w:val="1"/>
    <w:uiPriority w:val="0"/>
    <w:pPr>
      <w:pBdr>
        <w:top w:val="single" w:color="auto" w:sz="12" w:space="3"/>
        <w:bottom w:val="single" w:color="auto" w:sz="12" w:space="3"/>
      </w:pBdr>
      <w:spacing w:line="360" w:lineRule="auto"/>
    </w:pPr>
    <w:rPr>
      <w:sz w:val="24"/>
    </w:rPr>
  </w:style>
  <w:style w:type="paragraph" w:customStyle="1" w:styleId="211">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2">
    <w:name w:val="首行缩进"/>
    <w:basedOn w:val="1"/>
    <w:uiPriority w:val="0"/>
    <w:pPr>
      <w:spacing w:line="360" w:lineRule="auto"/>
      <w:ind w:firstLine="420" w:firstLineChars="200"/>
    </w:pPr>
    <w:rPr>
      <w:sz w:val="21"/>
    </w:rPr>
  </w:style>
  <w:style w:type="paragraph" w:customStyle="1" w:styleId="213">
    <w:name w:val="Body Text Indent 2"/>
    <w:basedOn w:val="1"/>
    <w:uiPriority w:val="0"/>
    <w:pPr>
      <w:adjustRightInd w:val="0"/>
      <w:spacing w:before="120" w:beforeLines="0" w:beforeAutospacing="0"/>
      <w:ind w:firstLine="420"/>
      <w:textAlignment w:val="baseline"/>
    </w:pPr>
    <w:rPr>
      <w:sz w:val="24"/>
    </w:rPr>
  </w:style>
  <w:style w:type="paragraph" w:customStyle="1" w:styleId="214">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215">
    <w:name w:val="home"/>
    <w:basedOn w:val="1"/>
    <w:uiPriority w:val="0"/>
    <w:pPr>
      <w:widowControl/>
      <w:spacing w:before="100" w:beforeAutospacing="1" w:after="100" w:afterAutospacing="1"/>
      <w:jc w:val="left"/>
    </w:pPr>
    <w:rPr>
      <w:rFonts w:ascii="宋体" w:hAnsi="宋体" w:cs="宋体"/>
      <w:kern w:val="0"/>
      <w:sz w:val="24"/>
      <w:szCs w:val="24"/>
    </w:rPr>
  </w:style>
  <w:style w:type="paragraph" w:styleId="216">
    <w:name w:val="List Paragraph"/>
    <w:basedOn w:val="1"/>
    <w:link w:val="217"/>
    <w:qFormat/>
    <w:uiPriority w:val="34"/>
    <w:pPr>
      <w:spacing w:line="360" w:lineRule="auto"/>
      <w:ind w:firstLine="420" w:firstLineChars="200"/>
    </w:pPr>
    <w:rPr>
      <w:rFonts w:ascii="Arial" w:hAnsi="Arial"/>
      <w:sz w:val="24"/>
    </w:rPr>
  </w:style>
  <w:style w:type="character" w:customStyle="1" w:styleId="217">
    <w:name w:val="列出段落 Char"/>
    <w:link w:val="216"/>
    <w:qFormat/>
    <w:uiPriority w:val="34"/>
    <w:rPr>
      <w:rFonts w:ascii="Arial" w:hAnsi="Arial"/>
      <w:kern w:val="2"/>
      <w:sz w:val="24"/>
    </w:rPr>
  </w:style>
  <w:style w:type="character" w:customStyle="1" w:styleId="218">
    <w:name w:val="样式 正文缩进 + 首行缩进:  2 字符 Char"/>
    <w:link w:val="219"/>
    <w:qFormat/>
    <w:uiPriority w:val="0"/>
    <w:rPr>
      <w:rFonts w:cs="宋体"/>
      <w:kern w:val="2"/>
      <w:sz w:val="24"/>
    </w:rPr>
  </w:style>
  <w:style w:type="paragraph" w:customStyle="1" w:styleId="219">
    <w:name w:val="样式 正文缩进 + 首行缩进:  2 字符"/>
    <w:basedOn w:val="16"/>
    <w:link w:val="218"/>
    <w:qFormat/>
    <w:uiPriority w:val="0"/>
    <w:pPr>
      <w:adjustRightInd/>
      <w:snapToGrid/>
      <w:ind w:firstLine="200" w:firstLineChars="200"/>
    </w:pPr>
  </w:style>
  <w:style w:type="character" w:customStyle="1" w:styleId="220">
    <w:name w:val="方案正文 Char"/>
    <w:link w:val="221"/>
    <w:qFormat/>
    <w:locked/>
    <w:uiPriority w:val="0"/>
    <w:rPr>
      <w:rFonts w:ascii="华文细黑" w:hAnsi="华文细黑" w:eastAsia="华文细黑"/>
      <w:sz w:val="24"/>
      <w:szCs w:val="24"/>
    </w:rPr>
  </w:style>
  <w:style w:type="paragraph" w:customStyle="1" w:styleId="221">
    <w:name w:val="方案正文"/>
    <w:basedOn w:val="1"/>
    <w:link w:val="220"/>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222">
    <w:name w:val="列表段落2"/>
    <w:basedOn w:val="1"/>
    <w:qFormat/>
    <w:uiPriority w:val="99"/>
    <w:pPr>
      <w:ind w:firstLine="420" w:firstLineChars="20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3580</Words>
  <Characters>20412</Characters>
  <Lines>170</Lines>
  <Paragraphs>47</Paragraphs>
  <TotalTime>4</TotalTime>
  <ScaleCrop>false</ScaleCrop>
  <LinksUpToDate>false</LinksUpToDate>
  <CharactersWithSpaces>23945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2021-06-01T09:31:00Z</dcterms:created>
  <dc:creator>admin</dc:creator>
  <cp:lastModifiedBy>牧羊人</cp:lastModifiedBy>
  <cp:lastPrinted>2021-06-17T02:56:00Z</cp:lastPrinted>
  <dcterms:modified xsi:type="dcterms:W3CDTF">2021-10-15T09:48:56Z</dcterms:modified>
  <dc:title>货物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BE0E89D354684F8EAD4AA7D22D922495</vt:lpwstr>
  </property>
</Properties>
</file>