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color w:val="auto"/>
        </w:rPr>
      </w:pPr>
      <w:r>
        <w:rPr>
          <w:rFonts w:hint="eastAsia" w:ascii="宋体" w:hAnsi="宋体"/>
          <w:color w:val="auto"/>
        </w:rPr>
        <w:t xml:space="preserve"> </w:t>
      </w:r>
    </w:p>
    <w:p>
      <w:pPr>
        <w:spacing w:line="276" w:lineRule="auto"/>
        <w:jc w:val="center"/>
        <w:rPr>
          <w:rFonts w:hint="eastAsia" w:ascii="宋体" w:hAnsi="宋体"/>
          <w:b/>
          <w:color w:val="auto"/>
          <w:sz w:val="72"/>
          <w:szCs w:val="44"/>
        </w:rPr>
      </w:pPr>
      <w:r>
        <w:rPr>
          <w:rFonts w:hint="eastAsia" w:ascii="宋体" w:hAnsi="宋体"/>
          <w:b/>
          <w:color w:val="auto"/>
          <w:sz w:val="72"/>
          <w:szCs w:val="44"/>
        </w:rPr>
        <w:t>竞争性磋商文件</w:t>
      </w:r>
    </w:p>
    <w:p>
      <w:pPr>
        <w:pStyle w:val="23"/>
        <w:spacing w:line="276" w:lineRule="auto"/>
        <w:ind w:left="0"/>
        <w:jc w:val="center"/>
        <w:rPr>
          <w:rFonts w:hint="eastAsia" w:ascii="宋体" w:hAnsi="宋体"/>
          <w:b/>
          <w:color w:val="auto"/>
          <w:sz w:val="32"/>
        </w:rPr>
      </w:pPr>
    </w:p>
    <w:p>
      <w:pPr>
        <w:pStyle w:val="23"/>
        <w:spacing w:line="276" w:lineRule="auto"/>
        <w:ind w:left="0"/>
        <w:jc w:val="center"/>
        <w:rPr>
          <w:rFonts w:hint="eastAsia" w:ascii="宋体" w:hAnsi="宋体"/>
          <w:b/>
          <w:color w:val="auto"/>
          <w:sz w:val="32"/>
        </w:rPr>
      </w:pPr>
    </w:p>
    <w:p>
      <w:pPr>
        <w:pStyle w:val="23"/>
        <w:spacing w:line="276" w:lineRule="auto"/>
        <w:ind w:left="0"/>
        <w:jc w:val="center"/>
        <w:rPr>
          <w:rFonts w:hint="eastAsia" w:ascii="宋体" w:hAnsi="宋体"/>
          <w:b/>
          <w:color w:val="auto"/>
          <w:sz w:val="32"/>
        </w:rPr>
      </w:pPr>
    </w:p>
    <w:p>
      <w:pPr>
        <w:pStyle w:val="23"/>
        <w:spacing w:line="276" w:lineRule="auto"/>
        <w:ind w:left="0"/>
        <w:jc w:val="center"/>
        <w:rPr>
          <w:rFonts w:hint="eastAsia" w:ascii="宋体" w:hAnsi="宋体"/>
          <w:b/>
          <w:color w:val="auto"/>
          <w:sz w:val="32"/>
        </w:rPr>
      </w:pPr>
    </w:p>
    <w:p>
      <w:pPr>
        <w:spacing w:line="276" w:lineRule="auto"/>
        <w:ind w:left="1417" w:leftChars="506"/>
        <w:jc w:val="left"/>
        <w:rPr>
          <w:rFonts w:hint="eastAsia" w:ascii="宋体" w:hAnsi="宋体" w:eastAsia="宋体"/>
          <w:b/>
          <w:color w:val="auto"/>
          <w:sz w:val="36"/>
          <w:szCs w:val="22"/>
          <w:lang w:eastAsia="zh-CN"/>
        </w:rPr>
      </w:pPr>
      <w:r>
        <w:rPr>
          <w:rFonts w:hint="eastAsia" w:ascii="宋体" w:hAnsi="宋体"/>
          <w:b/>
          <w:color w:val="auto"/>
          <w:sz w:val="36"/>
          <w:szCs w:val="22"/>
        </w:rPr>
        <w:t>项目编号：2021JYXX-4</w:t>
      </w:r>
      <w:r>
        <w:rPr>
          <w:rFonts w:hint="eastAsia" w:ascii="宋体" w:hAnsi="宋体"/>
          <w:b/>
          <w:color w:val="auto"/>
          <w:sz w:val="36"/>
          <w:szCs w:val="22"/>
          <w:lang w:val="en-US" w:eastAsia="zh-CN"/>
        </w:rPr>
        <w:t>5</w:t>
      </w:r>
    </w:p>
    <w:p>
      <w:pPr>
        <w:spacing w:line="276" w:lineRule="auto"/>
        <w:ind w:left="1417" w:leftChars="506"/>
        <w:jc w:val="left"/>
        <w:rPr>
          <w:rFonts w:hint="eastAsia" w:ascii="宋体" w:hAnsi="宋体" w:eastAsia="宋体" w:cs="Times New Roman"/>
          <w:b/>
          <w:color w:val="auto"/>
          <w:sz w:val="36"/>
          <w:szCs w:val="22"/>
          <w:lang w:val="en-US" w:eastAsia="zh-CN"/>
        </w:rPr>
      </w:pPr>
      <w:r>
        <w:rPr>
          <w:rFonts w:hint="eastAsia" w:ascii="宋体" w:hAnsi="宋体"/>
          <w:b/>
          <w:color w:val="auto"/>
          <w:sz w:val="36"/>
          <w:szCs w:val="22"/>
        </w:rPr>
        <w:t>项目名称：</w:t>
      </w:r>
      <w:r>
        <w:rPr>
          <w:rFonts w:hint="eastAsia" w:ascii="宋体" w:hAnsi="宋体" w:eastAsia="宋体" w:cs="Times New Roman"/>
          <w:b/>
          <w:color w:val="auto"/>
          <w:sz w:val="36"/>
          <w:szCs w:val="22"/>
          <w:lang w:val="en-US" w:eastAsia="zh-CN"/>
        </w:rPr>
        <w:t>全息三维医学影像手术及治疗计划服务</w:t>
      </w:r>
    </w:p>
    <w:p>
      <w:pPr>
        <w:spacing w:line="276" w:lineRule="auto"/>
        <w:jc w:val="center"/>
        <w:rPr>
          <w:rFonts w:hint="eastAsia" w:ascii="宋体" w:hAnsi="宋体"/>
          <w:color w:val="auto"/>
        </w:rPr>
      </w:pPr>
    </w:p>
    <w:p>
      <w:pPr>
        <w:spacing w:line="276" w:lineRule="auto"/>
        <w:jc w:val="center"/>
        <w:rPr>
          <w:rFonts w:hint="eastAsia" w:ascii="宋体" w:hAnsi="宋体"/>
          <w:color w:val="auto"/>
        </w:rPr>
      </w:pPr>
    </w:p>
    <w:p>
      <w:pPr>
        <w:pStyle w:val="28"/>
        <w:rPr>
          <w:rFonts w:hint="eastAsia"/>
          <w:color w:val="auto"/>
        </w:rPr>
      </w:pPr>
    </w:p>
    <w:p>
      <w:pPr>
        <w:rPr>
          <w:rFonts w:hint="eastAsia"/>
          <w:color w:val="auto"/>
        </w:rPr>
      </w:pPr>
    </w:p>
    <w:p>
      <w:pPr>
        <w:pStyle w:val="28"/>
        <w:rPr>
          <w:rFonts w:hint="eastAsia"/>
          <w:color w:val="auto"/>
        </w:rPr>
      </w:pPr>
    </w:p>
    <w:p>
      <w:pPr>
        <w:rPr>
          <w:rFonts w:hint="eastAsia"/>
          <w:color w:val="auto"/>
        </w:rPr>
      </w:pPr>
    </w:p>
    <w:p>
      <w:pPr>
        <w:pStyle w:val="28"/>
        <w:rPr>
          <w:rFonts w:hint="eastAsia"/>
          <w:color w:val="auto"/>
        </w:rPr>
      </w:pPr>
    </w:p>
    <w:p>
      <w:pPr>
        <w:rPr>
          <w:rFonts w:hint="eastAsia"/>
          <w:color w:val="auto"/>
        </w:rPr>
      </w:pPr>
    </w:p>
    <w:p>
      <w:pPr>
        <w:pStyle w:val="28"/>
        <w:rPr>
          <w:rFonts w:hint="eastAsia"/>
          <w:color w:val="auto"/>
        </w:rPr>
      </w:pPr>
    </w:p>
    <w:p>
      <w:pPr>
        <w:rPr>
          <w:rFonts w:hint="eastAsia"/>
          <w:color w:val="auto"/>
        </w:rPr>
      </w:pPr>
    </w:p>
    <w:p>
      <w:pPr>
        <w:pStyle w:val="28"/>
        <w:rPr>
          <w:rFonts w:hint="eastAsia"/>
          <w:color w:val="auto"/>
        </w:rPr>
      </w:pPr>
    </w:p>
    <w:p>
      <w:pPr>
        <w:spacing w:line="276" w:lineRule="auto"/>
        <w:jc w:val="center"/>
        <w:rPr>
          <w:rFonts w:hint="eastAsia" w:ascii="宋体" w:hAnsi="宋体"/>
          <w:color w:val="auto"/>
        </w:rPr>
      </w:pPr>
    </w:p>
    <w:p>
      <w:pPr>
        <w:spacing w:line="276" w:lineRule="auto"/>
        <w:jc w:val="center"/>
        <w:rPr>
          <w:rFonts w:hint="eastAsia" w:ascii="宋体" w:hAnsi="宋体"/>
          <w:color w:val="auto"/>
        </w:rPr>
      </w:pPr>
    </w:p>
    <w:p>
      <w:pPr>
        <w:spacing w:line="276" w:lineRule="auto"/>
        <w:jc w:val="center"/>
        <w:rPr>
          <w:rFonts w:hint="eastAsia" w:ascii="宋体" w:hAnsi="宋体"/>
          <w:color w:val="auto"/>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r>
        <w:rPr>
          <w:rFonts w:hint="eastAsia" w:ascii="宋体" w:hAnsi="宋体"/>
          <w:color w:val="auto"/>
          <w:sz w:val="36"/>
        </w:rPr>
        <w:t>采购人：重庆市第九人民医院</w:t>
      </w:r>
    </w:p>
    <w:p>
      <w:pPr>
        <w:spacing w:line="276" w:lineRule="auto"/>
        <w:jc w:val="center"/>
        <w:rPr>
          <w:rFonts w:hint="eastAsia" w:ascii="宋体" w:hAnsi="宋体"/>
          <w:color w:val="auto"/>
          <w:sz w:val="40"/>
          <w:szCs w:val="18"/>
        </w:rPr>
      </w:pPr>
      <w:r>
        <w:rPr>
          <w:rFonts w:hint="eastAsia" w:ascii="宋体" w:hAnsi="宋体"/>
          <w:color w:val="auto"/>
          <w:sz w:val="40"/>
          <w:szCs w:val="18"/>
        </w:rPr>
        <w:t>二〇二一年</w:t>
      </w:r>
      <w:r>
        <w:rPr>
          <w:rFonts w:hint="eastAsia" w:ascii="宋体" w:hAnsi="宋体"/>
          <w:color w:val="auto"/>
          <w:sz w:val="40"/>
          <w:szCs w:val="18"/>
          <w:lang w:eastAsia="zh-CN"/>
        </w:rPr>
        <w:t>十一</w:t>
      </w:r>
      <w:r>
        <w:rPr>
          <w:rFonts w:hint="eastAsia" w:ascii="宋体" w:hAnsi="宋体"/>
          <w:color w:val="auto"/>
          <w:sz w:val="40"/>
          <w:szCs w:val="18"/>
        </w:rPr>
        <w:t>月</w:t>
      </w:r>
    </w:p>
    <w:p>
      <w:pPr>
        <w:snapToGrid w:val="0"/>
        <w:spacing w:line="276" w:lineRule="auto"/>
        <w:rPr>
          <w:rFonts w:hint="eastAsia" w:ascii="宋体" w:hAnsi="宋体"/>
          <w:color w:val="auto"/>
          <w:sz w:val="44"/>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964" w:footer="992" w:gutter="0"/>
          <w:pgNumType w:start="1"/>
          <w:cols w:space="720" w:num="1"/>
          <w:titlePg/>
          <w:docGrid w:linePitch="312" w:charSpace="0"/>
        </w:sectPr>
      </w:pPr>
    </w:p>
    <w:p>
      <w:pPr>
        <w:snapToGrid w:val="0"/>
        <w:spacing w:line="276" w:lineRule="auto"/>
        <w:jc w:val="center"/>
        <w:rPr>
          <w:rFonts w:hint="eastAsia" w:ascii="宋体" w:hAnsi="宋体"/>
          <w:color w:val="auto"/>
          <w:sz w:val="44"/>
        </w:rPr>
      </w:pPr>
      <w:r>
        <w:rPr>
          <w:rFonts w:hint="eastAsia" w:ascii="宋体" w:hAnsi="宋体"/>
          <w:color w:val="auto"/>
          <w:sz w:val="44"/>
        </w:rPr>
        <w:t>目  录</w:t>
      </w:r>
    </w:p>
    <w:p>
      <w:pPr>
        <w:pStyle w:val="38"/>
        <w:tabs>
          <w:tab w:val="right" w:leader="dot" w:pos="9412"/>
          <w:tab w:val="clear" w:pos="1260"/>
          <w:tab w:val="clear" w:pos="1685"/>
          <w:tab w:val="clear" w:pos="8400"/>
        </w:tabs>
      </w:pPr>
      <w:r>
        <w:rPr>
          <w:rFonts w:hint="eastAsia" w:ascii="宋体" w:hAnsi="宋体"/>
          <w:color w:val="auto"/>
          <w:sz w:val="21"/>
          <w:szCs w:val="21"/>
        </w:rPr>
        <w:fldChar w:fldCharType="begin"/>
      </w:r>
      <w:r>
        <w:rPr>
          <w:rFonts w:hint="eastAsia" w:ascii="宋体" w:hAnsi="宋体"/>
          <w:color w:val="auto"/>
          <w:sz w:val="21"/>
          <w:szCs w:val="21"/>
        </w:rPr>
        <w:instrText xml:space="preserve"> TOC \o "1-2" \h \z </w:instrText>
      </w:r>
      <w:r>
        <w:rPr>
          <w:rFonts w:hint="eastAsia" w:ascii="宋体" w:hAnsi="宋体"/>
          <w:color w:val="auto"/>
          <w:sz w:val="21"/>
          <w:szCs w:val="21"/>
        </w:rPr>
        <w:fldChar w:fldCharType="separate"/>
      </w:r>
      <w:r>
        <w:rPr>
          <w:rFonts w:hint="eastAsia" w:ascii="宋体" w:hAnsi="宋体"/>
          <w:color w:val="auto"/>
          <w:szCs w:val="21"/>
        </w:rPr>
        <w:fldChar w:fldCharType="begin"/>
      </w:r>
      <w:r>
        <w:rPr>
          <w:rFonts w:hint="eastAsia" w:ascii="宋体" w:hAnsi="宋体"/>
          <w:szCs w:val="21"/>
        </w:rPr>
        <w:instrText xml:space="preserve"> HYPERLINK \l _Toc29529 </w:instrText>
      </w:r>
      <w:r>
        <w:rPr>
          <w:rFonts w:hint="eastAsia" w:ascii="宋体" w:hAnsi="宋体"/>
          <w:szCs w:val="21"/>
        </w:rPr>
        <w:fldChar w:fldCharType="separate"/>
      </w:r>
      <w:r>
        <w:rPr>
          <w:rFonts w:hint="default" w:ascii="宋体" w:hAnsi="宋体" w:eastAsia="宋体"/>
        </w:rPr>
        <w:t xml:space="preserve">第一篇 </w:t>
      </w:r>
      <w:r>
        <w:rPr>
          <w:rFonts w:hint="eastAsia" w:ascii="宋体" w:hAnsi="宋体" w:eastAsia="宋体"/>
        </w:rPr>
        <w:t>竞争性磋商邀请书</w:t>
      </w:r>
      <w:r>
        <w:tab/>
      </w:r>
      <w:r>
        <w:fldChar w:fldCharType="begin"/>
      </w:r>
      <w:r>
        <w:instrText xml:space="preserve"> PAGEREF _Toc29529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_Toc16105 </w:instrText>
      </w:r>
      <w:r>
        <w:rPr>
          <w:rFonts w:hint="eastAsia" w:ascii="宋体" w:hAnsi="宋体"/>
          <w:szCs w:val="21"/>
        </w:rPr>
        <w:fldChar w:fldCharType="separate"/>
      </w:r>
      <w:r>
        <w:rPr>
          <w:rFonts w:hint="eastAsia"/>
        </w:rPr>
        <w:t>一、项目内容</w:t>
      </w:r>
      <w:r>
        <w:tab/>
      </w:r>
      <w:r>
        <w:fldChar w:fldCharType="begin"/>
      </w:r>
      <w:r>
        <w:instrText xml:space="preserve"> PAGEREF _Toc16105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_Toc19683 </w:instrText>
      </w:r>
      <w:r>
        <w:rPr>
          <w:rFonts w:hint="eastAsia" w:ascii="宋体" w:hAnsi="宋体"/>
          <w:szCs w:val="21"/>
        </w:rPr>
        <w:fldChar w:fldCharType="separate"/>
      </w:r>
      <w:r>
        <w:rPr>
          <w:rFonts w:hint="eastAsia"/>
          <w:lang w:eastAsia="zh-CN"/>
        </w:rPr>
        <w:t>二</w:t>
      </w:r>
      <w:r>
        <w:rPr>
          <w:rFonts w:hint="eastAsia"/>
        </w:rPr>
        <w:t>、供应商资格要求</w:t>
      </w:r>
      <w:r>
        <w:tab/>
      </w:r>
      <w:r>
        <w:fldChar w:fldCharType="begin"/>
      </w:r>
      <w:r>
        <w:instrText xml:space="preserve"> PAGEREF _Toc19683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_Toc9573 </w:instrText>
      </w:r>
      <w:r>
        <w:rPr>
          <w:rFonts w:hint="eastAsia" w:ascii="宋体" w:hAnsi="宋体"/>
          <w:szCs w:val="21"/>
        </w:rPr>
        <w:fldChar w:fldCharType="separate"/>
      </w:r>
      <w:r>
        <w:rPr>
          <w:rFonts w:hint="eastAsia"/>
          <w:lang w:eastAsia="zh-CN"/>
        </w:rPr>
        <w:t>三</w:t>
      </w:r>
      <w:r>
        <w:rPr>
          <w:rFonts w:hint="eastAsia"/>
        </w:rPr>
        <w:t>、磋商报名</w:t>
      </w:r>
      <w:r>
        <w:tab/>
      </w:r>
      <w:r>
        <w:fldChar w:fldCharType="begin"/>
      </w:r>
      <w:r>
        <w:instrText xml:space="preserve"> PAGEREF _Toc9573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_Toc22332 </w:instrText>
      </w:r>
      <w:r>
        <w:rPr>
          <w:rFonts w:hint="eastAsia" w:ascii="宋体" w:hAnsi="宋体"/>
          <w:szCs w:val="21"/>
        </w:rPr>
        <w:fldChar w:fldCharType="separate"/>
      </w:r>
      <w:r>
        <w:rPr>
          <w:rFonts w:hint="eastAsia"/>
          <w:lang w:eastAsia="zh-CN"/>
        </w:rPr>
        <w:t>四</w:t>
      </w:r>
      <w:r>
        <w:rPr>
          <w:rFonts w:hint="eastAsia"/>
        </w:rPr>
        <w:t>、投标文件递交与磋商</w:t>
      </w:r>
      <w:r>
        <w:tab/>
      </w:r>
      <w:r>
        <w:fldChar w:fldCharType="begin"/>
      </w:r>
      <w:r>
        <w:instrText xml:space="preserve"> PAGEREF _Toc22332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_Toc1937 </w:instrText>
      </w:r>
      <w:r>
        <w:rPr>
          <w:rFonts w:hint="eastAsia" w:ascii="宋体" w:hAnsi="宋体"/>
          <w:szCs w:val="21"/>
        </w:rPr>
        <w:fldChar w:fldCharType="separate"/>
      </w:r>
      <w:r>
        <w:rPr>
          <w:rFonts w:hint="eastAsia"/>
          <w:lang w:eastAsia="zh-CN"/>
        </w:rPr>
        <w:t>五</w:t>
      </w:r>
      <w:r>
        <w:rPr>
          <w:rFonts w:hint="eastAsia"/>
        </w:rPr>
        <w:t>、采购人联系方式</w:t>
      </w:r>
      <w:r>
        <w:tab/>
      </w:r>
      <w:r>
        <w:fldChar w:fldCharType="begin"/>
      </w:r>
      <w:r>
        <w:instrText xml:space="preserve"> PAGEREF _Toc1937 \h </w:instrText>
      </w:r>
      <w:r>
        <w:fldChar w:fldCharType="separate"/>
      </w:r>
      <w:r>
        <w:t>- 3 -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_Toc32055 </w:instrText>
      </w:r>
      <w:r>
        <w:rPr>
          <w:rFonts w:hint="eastAsia" w:ascii="宋体" w:hAnsi="宋体"/>
          <w:szCs w:val="21"/>
        </w:rPr>
        <w:fldChar w:fldCharType="separate"/>
      </w:r>
      <w:r>
        <w:rPr>
          <w:rFonts w:hint="eastAsia"/>
          <w:lang w:eastAsia="zh-CN"/>
        </w:rPr>
        <w:t>六</w:t>
      </w:r>
      <w:r>
        <w:rPr>
          <w:rFonts w:hint="eastAsia"/>
        </w:rPr>
        <w:t>、磋商保证金</w:t>
      </w:r>
      <w:r>
        <w:tab/>
      </w:r>
      <w:r>
        <w:fldChar w:fldCharType="begin"/>
      </w:r>
      <w:r>
        <w:instrText xml:space="preserve"> PAGEREF _Toc32055 \h </w:instrText>
      </w:r>
      <w:r>
        <w:fldChar w:fldCharType="separate"/>
      </w:r>
      <w:r>
        <w:t>- 3 -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_Toc16321 </w:instrText>
      </w:r>
      <w:r>
        <w:rPr>
          <w:rFonts w:hint="eastAsia" w:ascii="宋体" w:hAnsi="宋体"/>
          <w:szCs w:val="21"/>
        </w:rPr>
        <w:fldChar w:fldCharType="separate"/>
      </w:r>
      <w:r>
        <w:rPr>
          <w:rFonts w:hint="eastAsia"/>
          <w:lang w:eastAsia="zh-CN"/>
        </w:rPr>
        <w:t>七</w:t>
      </w:r>
      <w:r>
        <w:rPr>
          <w:rFonts w:hint="eastAsia"/>
        </w:rPr>
        <w:t>、采购项目需落实的政府采购政策</w:t>
      </w:r>
      <w:r>
        <w:tab/>
      </w:r>
      <w:r>
        <w:fldChar w:fldCharType="begin"/>
      </w:r>
      <w:r>
        <w:instrText xml:space="preserve"> PAGEREF _Toc16321 \h </w:instrText>
      </w:r>
      <w:r>
        <w:fldChar w:fldCharType="separate"/>
      </w:r>
      <w:r>
        <w:t>- 3 -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_Toc10082 </w:instrText>
      </w:r>
      <w:r>
        <w:rPr>
          <w:rFonts w:hint="eastAsia" w:ascii="宋体" w:hAnsi="宋体"/>
          <w:szCs w:val="21"/>
        </w:rPr>
        <w:fldChar w:fldCharType="separate"/>
      </w:r>
      <w:r>
        <w:rPr>
          <w:rFonts w:hint="eastAsia"/>
          <w:lang w:eastAsia="zh-CN"/>
        </w:rPr>
        <w:t>八</w:t>
      </w:r>
      <w:r>
        <w:rPr>
          <w:rFonts w:hint="eastAsia"/>
        </w:rPr>
        <w:t>、磋商有关规定</w:t>
      </w:r>
      <w:r>
        <w:tab/>
      </w:r>
      <w:r>
        <w:fldChar w:fldCharType="begin"/>
      </w:r>
      <w:r>
        <w:instrText xml:space="preserve"> PAGEREF _Toc10082 \h </w:instrText>
      </w:r>
      <w:r>
        <w:fldChar w:fldCharType="separate"/>
      </w:r>
      <w:r>
        <w:t>- 3 -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_Toc21936 </w:instrText>
      </w:r>
      <w:r>
        <w:rPr>
          <w:rFonts w:hint="eastAsia" w:ascii="宋体" w:hAnsi="宋体"/>
          <w:szCs w:val="21"/>
        </w:rPr>
        <w:fldChar w:fldCharType="separate"/>
      </w:r>
      <w:r>
        <w:rPr>
          <w:rFonts w:hint="eastAsia" w:ascii="宋体" w:hAnsi="宋体" w:eastAsia="宋体"/>
        </w:rPr>
        <w:t>第二篇 项目具体要求</w:t>
      </w:r>
      <w:r>
        <w:tab/>
      </w:r>
      <w:r>
        <w:fldChar w:fldCharType="begin"/>
      </w:r>
      <w:r>
        <w:instrText xml:space="preserve"> PAGEREF _Toc21936 \h </w:instrText>
      </w:r>
      <w:r>
        <w:fldChar w:fldCharType="separate"/>
      </w:r>
      <w:r>
        <w:t>- 5 -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_Toc613 </w:instrText>
      </w:r>
      <w:r>
        <w:rPr>
          <w:rFonts w:hint="eastAsia" w:ascii="宋体" w:hAnsi="宋体"/>
          <w:szCs w:val="21"/>
        </w:rPr>
        <w:fldChar w:fldCharType="separate"/>
      </w:r>
      <w:r>
        <w:rPr>
          <w:rFonts w:hint="eastAsia"/>
          <w:szCs w:val="22"/>
        </w:rPr>
        <w:t>第一部分 技术要求</w:t>
      </w:r>
      <w:r>
        <w:tab/>
      </w:r>
      <w:r>
        <w:fldChar w:fldCharType="begin"/>
      </w:r>
      <w:r>
        <w:instrText xml:space="preserve"> PAGEREF _Toc613 \h </w:instrText>
      </w:r>
      <w:r>
        <w:fldChar w:fldCharType="separate"/>
      </w:r>
      <w:r>
        <w:t>- 5 -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_Toc24535 </w:instrText>
      </w:r>
      <w:r>
        <w:rPr>
          <w:rFonts w:hint="eastAsia" w:ascii="宋体" w:hAnsi="宋体"/>
          <w:szCs w:val="21"/>
        </w:rPr>
        <w:fldChar w:fldCharType="separate"/>
      </w:r>
      <w:r>
        <w:rPr>
          <w:rFonts w:hint="eastAsia"/>
          <w:szCs w:val="22"/>
        </w:rPr>
        <w:t>第二部分 商务要求</w:t>
      </w:r>
      <w:r>
        <w:tab/>
      </w:r>
      <w:r>
        <w:fldChar w:fldCharType="begin"/>
      </w:r>
      <w:r>
        <w:instrText xml:space="preserve"> PAGEREF _Toc24535 \h </w:instrText>
      </w:r>
      <w:r>
        <w:fldChar w:fldCharType="separate"/>
      </w:r>
      <w:r>
        <w:t>- 7 -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_Toc15745 </w:instrText>
      </w:r>
      <w:r>
        <w:rPr>
          <w:rFonts w:hint="eastAsia" w:ascii="宋体" w:hAnsi="宋体"/>
          <w:szCs w:val="21"/>
        </w:rPr>
        <w:fldChar w:fldCharType="separate"/>
      </w:r>
      <w:r>
        <w:rPr>
          <w:rFonts w:hint="eastAsia" w:ascii="宋体" w:hAnsi="宋体" w:eastAsia="宋体"/>
        </w:rPr>
        <w:t>第三篇  评审程序、评审方法和评审标准</w:t>
      </w:r>
      <w:r>
        <w:tab/>
      </w:r>
      <w:r>
        <w:fldChar w:fldCharType="begin"/>
      </w:r>
      <w:r>
        <w:instrText xml:space="preserve"> PAGEREF _Toc15745 \h </w:instrText>
      </w:r>
      <w:r>
        <w:fldChar w:fldCharType="separate"/>
      </w:r>
      <w:r>
        <w:t>- 9 -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_Toc8311 </w:instrText>
      </w:r>
      <w:r>
        <w:rPr>
          <w:rFonts w:hint="eastAsia" w:ascii="宋体" w:hAnsi="宋体"/>
          <w:szCs w:val="21"/>
        </w:rPr>
        <w:fldChar w:fldCharType="separate"/>
      </w:r>
      <w:r>
        <w:rPr>
          <w:rFonts w:hint="eastAsia"/>
          <w:szCs w:val="24"/>
        </w:rPr>
        <w:t>一、评审程序</w:t>
      </w:r>
      <w:r>
        <w:tab/>
      </w:r>
      <w:r>
        <w:fldChar w:fldCharType="begin"/>
      </w:r>
      <w:r>
        <w:instrText xml:space="preserve"> PAGEREF _Toc8311 \h </w:instrText>
      </w:r>
      <w:r>
        <w:fldChar w:fldCharType="separate"/>
      </w:r>
      <w:r>
        <w:t>- 9 -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_Toc10729 </w:instrText>
      </w:r>
      <w:r>
        <w:rPr>
          <w:rFonts w:hint="eastAsia" w:ascii="宋体" w:hAnsi="宋体"/>
          <w:szCs w:val="21"/>
        </w:rPr>
        <w:fldChar w:fldCharType="separate"/>
      </w:r>
      <w:r>
        <w:rPr>
          <w:rFonts w:hint="eastAsia"/>
          <w:szCs w:val="24"/>
        </w:rPr>
        <w:t>二、评审方法</w:t>
      </w:r>
      <w:r>
        <w:tab/>
      </w:r>
      <w:r>
        <w:fldChar w:fldCharType="begin"/>
      </w:r>
      <w:r>
        <w:instrText xml:space="preserve"> PAGEREF _Toc10729 \h </w:instrText>
      </w:r>
      <w:r>
        <w:fldChar w:fldCharType="separate"/>
      </w:r>
      <w:r>
        <w:t>- 10 -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_Toc17411 </w:instrText>
      </w:r>
      <w:r>
        <w:rPr>
          <w:rFonts w:hint="eastAsia" w:ascii="宋体" w:hAnsi="宋体"/>
          <w:szCs w:val="21"/>
        </w:rPr>
        <w:fldChar w:fldCharType="separate"/>
      </w:r>
      <w:r>
        <w:rPr>
          <w:rFonts w:hint="eastAsia" w:ascii="宋体" w:hAnsi="宋体" w:eastAsia="宋体"/>
        </w:rPr>
        <w:t>第四篇  供应商须知</w:t>
      </w:r>
      <w:r>
        <w:tab/>
      </w:r>
      <w:r>
        <w:fldChar w:fldCharType="begin"/>
      </w:r>
      <w:r>
        <w:instrText xml:space="preserve"> PAGEREF _Toc17411 \h </w:instrText>
      </w:r>
      <w:r>
        <w:fldChar w:fldCharType="separate"/>
      </w:r>
      <w:r>
        <w:t>- 14 -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_Toc10767 </w:instrText>
      </w:r>
      <w:r>
        <w:rPr>
          <w:rFonts w:hint="eastAsia" w:ascii="宋体" w:hAnsi="宋体"/>
          <w:szCs w:val="21"/>
        </w:rPr>
        <w:fldChar w:fldCharType="separate"/>
      </w:r>
      <w:r>
        <w:rPr>
          <w:rFonts w:hint="eastAsia"/>
        </w:rPr>
        <w:t>一、供应商</w:t>
      </w:r>
      <w:r>
        <w:tab/>
      </w:r>
      <w:r>
        <w:fldChar w:fldCharType="begin"/>
      </w:r>
      <w:r>
        <w:instrText xml:space="preserve"> PAGEREF _Toc10767 \h </w:instrText>
      </w:r>
      <w:r>
        <w:fldChar w:fldCharType="separate"/>
      </w:r>
      <w:r>
        <w:t>- 14 -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_Toc5072 </w:instrText>
      </w:r>
      <w:r>
        <w:rPr>
          <w:rFonts w:hint="eastAsia" w:ascii="宋体" w:hAnsi="宋体"/>
          <w:szCs w:val="21"/>
        </w:rPr>
        <w:fldChar w:fldCharType="separate"/>
      </w:r>
      <w:r>
        <w:rPr>
          <w:rFonts w:hint="eastAsia"/>
        </w:rPr>
        <w:t>二、磋商文件</w:t>
      </w:r>
      <w:r>
        <w:tab/>
      </w:r>
      <w:r>
        <w:fldChar w:fldCharType="begin"/>
      </w:r>
      <w:r>
        <w:instrText xml:space="preserve"> PAGEREF _Toc5072 \h </w:instrText>
      </w:r>
      <w:r>
        <w:fldChar w:fldCharType="separate"/>
      </w:r>
      <w:r>
        <w:t>- 14 -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_Toc6163 </w:instrText>
      </w:r>
      <w:r>
        <w:rPr>
          <w:rFonts w:hint="eastAsia" w:ascii="宋体" w:hAnsi="宋体"/>
          <w:szCs w:val="21"/>
        </w:rPr>
        <w:fldChar w:fldCharType="separate"/>
      </w:r>
      <w:r>
        <w:rPr>
          <w:rFonts w:hint="eastAsia"/>
        </w:rPr>
        <w:t>三、响应文件</w:t>
      </w:r>
      <w:r>
        <w:tab/>
      </w:r>
      <w:r>
        <w:fldChar w:fldCharType="begin"/>
      </w:r>
      <w:r>
        <w:instrText xml:space="preserve"> PAGEREF _Toc6163 \h </w:instrText>
      </w:r>
      <w:r>
        <w:fldChar w:fldCharType="separate"/>
      </w:r>
      <w:r>
        <w:t>- 14 -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_Toc18216 </w:instrText>
      </w:r>
      <w:r>
        <w:rPr>
          <w:rFonts w:hint="eastAsia" w:ascii="宋体" w:hAnsi="宋体"/>
          <w:szCs w:val="21"/>
        </w:rPr>
        <w:fldChar w:fldCharType="separate"/>
      </w:r>
      <w:r>
        <w:rPr>
          <w:rFonts w:hint="eastAsia"/>
        </w:rPr>
        <w:t>四、竞争性磋商程序</w:t>
      </w:r>
      <w:r>
        <w:tab/>
      </w:r>
      <w:r>
        <w:fldChar w:fldCharType="begin"/>
      </w:r>
      <w:r>
        <w:instrText xml:space="preserve"> PAGEREF _Toc18216 \h </w:instrText>
      </w:r>
      <w:r>
        <w:fldChar w:fldCharType="separate"/>
      </w:r>
      <w:r>
        <w:t>- 15 -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_Toc17658 </w:instrText>
      </w:r>
      <w:r>
        <w:rPr>
          <w:rFonts w:hint="eastAsia" w:ascii="宋体" w:hAnsi="宋体"/>
          <w:szCs w:val="21"/>
        </w:rPr>
        <w:fldChar w:fldCharType="separate"/>
      </w:r>
      <w:r>
        <w:rPr>
          <w:rFonts w:hint="eastAsia"/>
        </w:rPr>
        <w:t>五、确定成交供应商</w:t>
      </w:r>
      <w:r>
        <w:tab/>
      </w:r>
      <w:r>
        <w:fldChar w:fldCharType="begin"/>
      </w:r>
      <w:r>
        <w:instrText xml:space="preserve"> PAGEREF _Toc17658 \h </w:instrText>
      </w:r>
      <w:r>
        <w:fldChar w:fldCharType="separate"/>
      </w:r>
      <w:r>
        <w:t>- 16 -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_Toc11843 </w:instrText>
      </w:r>
      <w:r>
        <w:rPr>
          <w:rFonts w:hint="eastAsia" w:ascii="宋体" w:hAnsi="宋体"/>
          <w:szCs w:val="21"/>
        </w:rPr>
        <w:fldChar w:fldCharType="separate"/>
      </w:r>
      <w:r>
        <w:rPr>
          <w:rFonts w:hint="eastAsia"/>
        </w:rPr>
        <w:t>六、成交通知书</w:t>
      </w:r>
      <w:r>
        <w:tab/>
      </w:r>
      <w:r>
        <w:fldChar w:fldCharType="begin"/>
      </w:r>
      <w:r>
        <w:instrText xml:space="preserve"> PAGEREF _Toc11843 \h </w:instrText>
      </w:r>
      <w:r>
        <w:fldChar w:fldCharType="separate"/>
      </w:r>
      <w:r>
        <w:t>- 17 -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_Toc32347 </w:instrText>
      </w:r>
      <w:r>
        <w:rPr>
          <w:rFonts w:hint="eastAsia" w:ascii="宋体" w:hAnsi="宋体"/>
          <w:szCs w:val="21"/>
        </w:rPr>
        <w:fldChar w:fldCharType="separate"/>
      </w:r>
      <w:r>
        <w:rPr>
          <w:rFonts w:hint="eastAsia"/>
        </w:rPr>
        <w:t>七、关于质疑和投诉</w:t>
      </w:r>
      <w:r>
        <w:tab/>
      </w:r>
      <w:r>
        <w:fldChar w:fldCharType="begin"/>
      </w:r>
      <w:r>
        <w:instrText xml:space="preserve"> PAGEREF _Toc32347 \h </w:instrText>
      </w:r>
      <w:r>
        <w:fldChar w:fldCharType="separate"/>
      </w:r>
      <w:r>
        <w:t>- 17 -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_Toc3501 </w:instrText>
      </w:r>
      <w:r>
        <w:rPr>
          <w:rFonts w:hint="eastAsia" w:ascii="宋体" w:hAnsi="宋体"/>
          <w:szCs w:val="21"/>
        </w:rPr>
        <w:fldChar w:fldCharType="separate"/>
      </w:r>
      <w:r>
        <w:rPr>
          <w:rFonts w:hint="eastAsia"/>
        </w:rPr>
        <w:t>八、签订合同</w:t>
      </w:r>
      <w:r>
        <w:tab/>
      </w:r>
      <w:r>
        <w:fldChar w:fldCharType="begin"/>
      </w:r>
      <w:r>
        <w:instrText xml:space="preserve"> PAGEREF _Toc3501 \h </w:instrText>
      </w:r>
      <w:r>
        <w:fldChar w:fldCharType="separate"/>
      </w:r>
      <w:r>
        <w:t>- 18 -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_Toc13978 </w:instrText>
      </w:r>
      <w:r>
        <w:rPr>
          <w:rFonts w:hint="eastAsia" w:ascii="宋体" w:hAnsi="宋体"/>
          <w:szCs w:val="21"/>
        </w:rPr>
        <w:fldChar w:fldCharType="separate"/>
      </w:r>
      <w:r>
        <w:rPr>
          <w:rFonts w:hint="eastAsia" w:ascii="宋体" w:hAnsi="宋体" w:eastAsia="宋体"/>
        </w:rPr>
        <w:t>第五篇  合同</w:t>
      </w:r>
      <w:r>
        <w:tab/>
      </w:r>
      <w:r>
        <w:fldChar w:fldCharType="begin"/>
      </w:r>
      <w:r>
        <w:instrText xml:space="preserve"> PAGEREF _Toc13978 \h </w:instrText>
      </w:r>
      <w:r>
        <w:fldChar w:fldCharType="separate"/>
      </w:r>
      <w:r>
        <w:t>- 19 -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_Toc30234 </w:instrText>
      </w:r>
      <w:r>
        <w:rPr>
          <w:rFonts w:hint="eastAsia" w:ascii="宋体" w:hAnsi="宋体"/>
          <w:szCs w:val="21"/>
        </w:rPr>
        <w:fldChar w:fldCharType="separate"/>
      </w:r>
      <w:r>
        <w:rPr>
          <w:rFonts w:hint="eastAsia" w:ascii="宋体" w:hAnsi="宋体" w:eastAsia="宋体"/>
        </w:rPr>
        <w:t>第六篇  响应文件格式</w:t>
      </w:r>
      <w:r>
        <w:tab/>
      </w:r>
      <w:r>
        <w:fldChar w:fldCharType="begin"/>
      </w:r>
      <w:r>
        <w:instrText xml:space="preserve"> PAGEREF _Toc30234 \h </w:instrText>
      </w:r>
      <w:r>
        <w:fldChar w:fldCharType="separate"/>
      </w:r>
      <w:r>
        <w:t>- 21 -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_Toc3060 </w:instrText>
      </w:r>
      <w:r>
        <w:rPr>
          <w:rFonts w:hint="eastAsia" w:ascii="宋体" w:hAnsi="宋体"/>
          <w:szCs w:val="21"/>
        </w:rPr>
        <w:fldChar w:fldCharType="separate"/>
      </w:r>
      <w:r>
        <w:rPr>
          <w:rFonts w:hint="eastAsia"/>
          <w:szCs w:val="28"/>
        </w:rPr>
        <w:t>一、经济文件</w:t>
      </w:r>
      <w:r>
        <w:tab/>
      </w:r>
      <w:r>
        <w:fldChar w:fldCharType="begin"/>
      </w:r>
      <w:r>
        <w:instrText xml:space="preserve"> PAGEREF _Toc3060 \h </w:instrText>
      </w:r>
      <w:r>
        <w:fldChar w:fldCharType="separate"/>
      </w:r>
      <w:r>
        <w:t>- 22 -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_Toc965 </w:instrText>
      </w:r>
      <w:r>
        <w:rPr>
          <w:rFonts w:hint="eastAsia" w:ascii="宋体" w:hAnsi="宋体"/>
          <w:szCs w:val="21"/>
        </w:rPr>
        <w:fldChar w:fldCharType="separate"/>
      </w:r>
      <w:r>
        <w:rPr>
          <w:rFonts w:hint="eastAsia"/>
          <w:szCs w:val="28"/>
        </w:rPr>
        <w:t>二、资格文件</w:t>
      </w:r>
      <w:r>
        <w:tab/>
      </w:r>
      <w:r>
        <w:fldChar w:fldCharType="begin"/>
      </w:r>
      <w:r>
        <w:instrText xml:space="preserve"> PAGEREF _Toc965 \h </w:instrText>
      </w:r>
      <w:r>
        <w:fldChar w:fldCharType="separate"/>
      </w:r>
      <w:r>
        <w:t>- 24 -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_Toc3300 </w:instrText>
      </w:r>
      <w:r>
        <w:rPr>
          <w:rFonts w:hint="eastAsia" w:ascii="宋体" w:hAnsi="宋体"/>
          <w:szCs w:val="21"/>
        </w:rPr>
        <w:fldChar w:fldCharType="separate"/>
      </w:r>
      <w:r>
        <w:rPr>
          <w:rFonts w:hint="eastAsia"/>
          <w:szCs w:val="28"/>
        </w:rPr>
        <w:t>三、服务响应文件</w:t>
      </w:r>
      <w:r>
        <w:tab/>
      </w:r>
      <w:r>
        <w:fldChar w:fldCharType="begin"/>
      </w:r>
      <w:r>
        <w:instrText xml:space="preserve"> PAGEREF _Toc3300 \h </w:instrText>
      </w:r>
      <w:r>
        <w:fldChar w:fldCharType="separate"/>
      </w:r>
      <w:r>
        <w:t>- 29 -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_Toc2499 </w:instrText>
      </w:r>
      <w:r>
        <w:rPr>
          <w:rFonts w:hint="eastAsia" w:ascii="宋体" w:hAnsi="宋体"/>
          <w:szCs w:val="21"/>
        </w:rPr>
        <w:fldChar w:fldCharType="separate"/>
      </w:r>
      <w:r>
        <w:rPr>
          <w:rFonts w:hint="eastAsia"/>
          <w:szCs w:val="28"/>
        </w:rPr>
        <w:t>四、其他</w:t>
      </w:r>
      <w:r>
        <w:tab/>
      </w:r>
      <w:r>
        <w:fldChar w:fldCharType="begin"/>
      </w:r>
      <w:r>
        <w:instrText xml:space="preserve"> PAGEREF _Toc2499 \h </w:instrText>
      </w:r>
      <w:r>
        <w:fldChar w:fldCharType="separate"/>
      </w:r>
      <w:r>
        <w:t>- 32 -</w:t>
      </w:r>
      <w:r>
        <w:fldChar w:fldCharType="end"/>
      </w:r>
      <w:r>
        <w:rPr>
          <w:rFonts w:hint="eastAsia" w:ascii="宋体" w:hAnsi="宋体"/>
          <w:color w:val="auto"/>
          <w:szCs w:val="21"/>
        </w:rPr>
        <w:fldChar w:fldCharType="end"/>
      </w:r>
    </w:p>
    <w:p>
      <w:pPr>
        <w:pStyle w:val="38"/>
        <w:spacing w:line="276" w:lineRule="auto"/>
        <w:ind w:firstLine="0" w:firstLineChars="0"/>
        <w:rPr>
          <w:rFonts w:hint="eastAsia" w:ascii="宋体" w:hAnsi="宋体"/>
          <w:color w:val="auto"/>
          <w:sz w:val="32"/>
        </w:rPr>
        <w:sectPr>
          <w:pgSz w:w="11907" w:h="16840"/>
          <w:pgMar w:top="1134" w:right="1191" w:bottom="1134" w:left="1304" w:header="964" w:footer="992" w:gutter="0"/>
          <w:pgNumType w:fmt="numberInDash" w:start="1"/>
          <w:cols w:space="720" w:num="1"/>
          <w:docGrid w:linePitch="312" w:charSpace="0"/>
        </w:sectPr>
      </w:pPr>
      <w:r>
        <w:rPr>
          <w:rFonts w:hint="eastAsia" w:ascii="宋体" w:hAnsi="宋体"/>
          <w:color w:val="auto"/>
          <w:szCs w:val="21"/>
        </w:rPr>
        <w:fldChar w:fldCharType="end"/>
      </w:r>
    </w:p>
    <w:p>
      <w:pPr>
        <w:pStyle w:val="2"/>
        <w:numPr>
          <w:ilvl w:val="0"/>
          <w:numId w:val="16"/>
        </w:numPr>
        <w:spacing w:before="0" w:beforeLines="0" w:after="0" w:afterLines="0" w:line="276" w:lineRule="auto"/>
        <w:ind w:left="1531" w:hanging="1531"/>
        <w:rPr>
          <w:rFonts w:hint="eastAsia" w:ascii="宋体" w:hAnsi="宋体" w:eastAsia="宋体"/>
          <w:color w:val="auto"/>
        </w:rPr>
      </w:pPr>
      <w:bookmarkStart w:id="0" w:name="_Toc441065652"/>
      <w:bookmarkStart w:id="1" w:name="_Toc29529"/>
      <w:r>
        <w:rPr>
          <w:rFonts w:hint="eastAsia" w:ascii="宋体" w:hAnsi="宋体" w:eastAsia="宋体"/>
          <w:color w:val="auto"/>
        </w:rPr>
        <w:t>竞争性磋商邀请书</w:t>
      </w:r>
      <w:bookmarkEnd w:id="0"/>
      <w:bookmarkEnd w:id="1"/>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采购人将对以下项目进行竞争性磋商，欢迎有资格的供应商参与磋商。</w:t>
      </w:r>
    </w:p>
    <w:p>
      <w:pPr>
        <w:pStyle w:val="3"/>
        <w:spacing w:before="120" w:beforeLines="50" w:line="276" w:lineRule="auto"/>
        <w:ind w:firstLine="482" w:firstLineChars="200"/>
        <w:rPr>
          <w:rFonts w:hint="eastAsia"/>
          <w:b/>
          <w:color w:val="auto"/>
          <w:sz w:val="24"/>
        </w:rPr>
      </w:pPr>
      <w:bookmarkStart w:id="2" w:name="_Toc441065653"/>
      <w:bookmarkStart w:id="3" w:name="_Toc16105"/>
      <w:r>
        <w:rPr>
          <w:rFonts w:hint="eastAsia"/>
          <w:b/>
          <w:color w:val="auto"/>
          <w:sz w:val="24"/>
        </w:rPr>
        <w:t>一、项目内容</w:t>
      </w:r>
      <w:bookmarkEnd w:id="2"/>
      <w:bookmarkEnd w:id="3"/>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722"/>
        <w:gridCol w:w="1337"/>
        <w:gridCol w:w="1511"/>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pStyle w:val="23"/>
              <w:spacing w:line="276" w:lineRule="auto"/>
              <w:ind w:left="0"/>
              <w:jc w:val="center"/>
              <w:outlineLvl w:val="0"/>
              <w:rPr>
                <w:rFonts w:hint="eastAsia" w:ascii="宋体" w:hAnsi="宋体"/>
                <w:color w:val="auto"/>
                <w:sz w:val="24"/>
                <w:szCs w:val="24"/>
              </w:rPr>
            </w:pPr>
            <w:r>
              <w:rPr>
                <w:rFonts w:hint="eastAsia" w:ascii="宋体" w:hAnsi="宋体"/>
                <w:color w:val="auto"/>
                <w:sz w:val="24"/>
                <w:szCs w:val="24"/>
                <w:lang w:eastAsia="zh-CN"/>
              </w:rPr>
              <w:t>序号</w:t>
            </w:r>
          </w:p>
        </w:tc>
        <w:tc>
          <w:tcPr>
            <w:tcW w:w="1722" w:type="dxa"/>
            <w:noWrap w:val="0"/>
            <w:vAlign w:val="center"/>
          </w:tcPr>
          <w:p>
            <w:pPr>
              <w:pStyle w:val="23"/>
              <w:spacing w:line="276" w:lineRule="auto"/>
              <w:ind w:left="0"/>
              <w:jc w:val="center"/>
              <w:outlineLvl w:val="0"/>
              <w:rPr>
                <w:rFonts w:hint="eastAsia" w:ascii="宋体" w:hAnsi="宋体"/>
                <w:color w:val="auto"/>
                <w:sz w:val="24"/>
                <w:szCs w:val="24"/>
              </w:rPr>
            </w:pPr>
            <w:r>
              <w:rPr>
                <w:rFonts w:hint="eastAsia" w:ascii="宋体" w:hAnsi="宋体"/>
                <w:color w:val="auto"/>
                <w:sz w:val="24"/>
                <w:szCs w:val="24"/>
              </w:rPr>
              <w:t>项目名称</w:t>
            </w:r>
          </w:p>
        </w:tc>
        <w:tc>
          <w:tcPr>
            <w:tcW w:w="1337" w:type="dxa"/>
            <w:noWrap w:val="0"/>
            <w:vAlign w:val="center"/>
          </w:tcPr>
          <w:p>
            <w:pPr>
              <w:pStyle w:val="23"/>
              <w:spacing w:line="276" w:lineRule="auto"/>
              <w:ind w:left="0"/>
              <w:jc w:val="center"/>
              <w:outlineLvl w:val="0"/>
              <w:rPr>
                <w:rFonts w:hint="eastAsia" w:ascii="宋体" w:hAnsi="宋体"/>
                <w:color w:val="auto"/>
                <w:sz w:val="24"/>
                <w:szCs w:val="24"/>
              </w:rPr>
            </w:pPr>
            <w:r>
              <w:rPr>
                <w:rFonts w:hint="eastAsia" w:ascii="宋体" w:hAnsi="宋体"/>
                <w:color w:val="auto"/>
                <w:sz w:val="24"/>
                <w:szCs w:val="24"/>
              </w:rPr>
              <w:t>最高限价</w:t>
            </w:r>
          </w:p>
          <w:p>
            <w:pPr>
              <w:pStyle w:val="23"/>
              <w:spacing w:line="276" w:lineRule="auto"/>
              <w:ind w:left="0"/>
              <w:jc w:val="center"/>
              <w:outlineLvl w:val="0"/>
              <w:rPr>
                <w:rFonts w:hint="eastAsia" w:ascii="宋体" w:hAnsi="宋体"/>
                <w:color w:val="auto"/>
                <w:sz w:val="24"/>
                <w:szCs w:val="24"/>
              </w:rPr>
            </w:pPr>
            <w:r>
              <w:rPr>
                <w:rFonts w:hint="eastAsia" w:ascii="宋体" w:hAnsi="宋体"/>
                <w:color w:val="auto"/>
                <w:sz w:val="24"/>
                <w:szCs w:val="24"/>
              </w:rPr>
              <w:t>（万元）</w:t>
            </w:r>
          </w:p>
        </w:tc>
        <w:tc>
          <w:tcPr>
            <w:tcW w:w="1511" w:type="dxa"/>
            <w:noWrap w:val="0"/>
            <w:vAlign w:val="center"/>
          </w:tcPr>
          <w:p>
            <w:pPr>
              <w:pStyle w:val="23"/>
              <w:spacing w:line="276" w:lineRule="auto"/>
              <w:ind w:left="0"/>
              <w:jc w:val="center"/>
              <w:outlineLvl w:val="0"/>
              <w:rPr>
                <w:rFonts w:hint="eastAsia" w:ascii="宋体" w:hAnsi="宋体"/>
                <w:color w:val="auto"/>
                <w:sz w:val="24"/>
                <w:szCs w:val="24"/>
              </w:rPr>
            </w:pPr>
            <w:r>
              <w:rPr>
                <w:rFonts w:hint="eastAsia" w:ascii="宋体" w:hAnsi="宋体"/>
                <w:color w:val="auto"/>
                <w:sz w:val="24"/>
                <w:szCs w:val="24"/>
              </w:rPr>
              <w:t>磋商保证金</w:t>
            </w:r>
          </w:p>
          <w:p>
            <w:pPr>
              <w:pStyle w:val="23"/>
              <w:spacing w:line="276" w:lineRule="auto"/>
              <w:ind w:left="0"/>
              <w:jc w:val="center"/>
              <w:outlineLvl w:val="0"/>
              <w:rPr>
                <w:rFonts w:hint="eastAsia" w:ascii="宋体" w:hAnsi="宋体"/>
                <w:color w:val="auto"/>
                <w:sz w:val="24"/>
                <w:szCs w:val="24"/>
              </w:rPr>
            </w:pPr>
            <w:r>
              <w:rPr>
                <w:rFonts w:hint="eastAsia" w:ascii="宋体" w:hAnsi="宋体"/>
                <w:color w:val="auto"/>
                <w:sz w:val="24"/>
                <w:szCs w:val="24"/>
              </w:rPr>
              <w:t>（万元）</w:t>
            </w:r>
          </w:p>
        </w:tc>
        <w:tc>
          <w:tcPr>
            <w:tcW w:w="2334" w:type="dxa"/>
            <w:noWrap w:val="0"/>
            <w:vAlign w:val="center"/>
          </w:tcPr>
          <w:p>
            <w:pPr>
              <w:pStyle w:val="23"/>
              <w:spacing w:line="276" w:lineRule="auto"/>
              <w:ind w:left="0"/>
              <w:jc w:val="center"/>
              <w:outlineLvl w:val="0"/>
              <w:rPr>
                <w:rFonts w:hint="eastAsia"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62" w:type="dxa"/>
            <w:noWrap w:val="0"/>
            <w:vAlign w:val="center"/>
          </w:tcPr>
          <w:p>
            <w:pPr>
              <w:pStyle w:val="15"/>
              <w:spacing w:line="276" w:lineRule="auto"/>
              <w:ind w:firstLine="0"/>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1722" w:type="dxa"/>
            <w:noWrap w:val="0"/>
            <w:vAlign w:val="center"/>
          </w:tcPr>
          <w:p>
            <w:pPr>
              <w:keepNext w:val="0"/>
              <w:keepLines w:val="0"/>
              <w:widowControl/>
              <w:suppressLineNumbers w:val="0"/>
              <w:jc w:val="left"/>
              <w:rPr>
                <w:rFonts w:hint="eastAsia" w:ascii="宋体" w:hAnsi="宋体" w:eastAsia="宋体" w:cs="Times New Roman"/>
                <w:color w:val="auto"/>
                <w:kern w:val="2"/>
                <w:sz w:val="24"/>
                <w:szCs w:val="24"/>
                <w:lang w:val="en-US" w:eastAsia="zh-CN" w:bidi="ar-SA"/>
              </w:rPr>
            </w:pPr>
            <w:r>
              <w:rPr>
                <w:rFonts w:ascii="黑体" w:hAnsi="宋体" w:eastAsia="黑体" w:cs="黑体"/>
                <w:color w:val="auto"/>
                <w:kern w:val="0"/>
                <w:sz w:val="24"/>
                <w:szCs w:val="24"/>
                <w:lang w:val="en-US" w:eastAsia="zh-CN" w:bidi="ar"/>
              </w:rPr>
              <w:t>全息三维医学影像手术及治疗计划</w:t>
            </w:r>
            <w:r>
              <w:rPr>
                <w:rFonts w:hint="eastAsia" w:ascii="黑体" w:hAnsi="宋体" w:eastAsia="黑体" w:cs="黑体"/>
                <w:color w:val="auto"/>
                <w:kern w:val="0"/>
                <w:sz w:val="24"/>
                <w:szCs w:val="24"/>
                <w:lang w:val="en-US" w:eastAsia="zh-CN" w:bidi="ar"/>
              </w:rPr>
              <w:t>服务</w:t>
            </w:r>
          </w:p>
        </w:tc>
        <w:tc>
          <w:tcPr>
            <w:tcW w:w="1337" w:type="dxa"/>
            <w:noWrap w:val="0"/>
            <w:vAlign w:val="center"/>
          </w:tcPr>
          <w:p>
            <w:pPr>
              <w:pStyle w:val="23"/>
              <w:spacing w:line="276" w:lineRule="auto"/>
              <w:ind w:left="0"/>
              <w:jc w:val="center"/>
              <w:outlineLvl w:val="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49.8</w:t>
            </w:r>
          </w:p>
        </w:tc>
        <w:tc>
          <w:tcPr>
            <w:tcW w:w="1511" w:type="dxa"/>
            <w:noWrap w:val="0"/>
            <w:vAlign w:val="center"/>
          </w:tcPr>
          <w:p>
            <w:pPr>
              <w:pStyle w:val="23"/>
              <w:spacing w:line="276" w:lineRule="auto"/>
              <w:ind w:left="0"/>
              <w:jc w:val="center"/>
              <w:outlineLvl w:val="0"/>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0</w:t>
            </w:r>
          </w:p>
        </w:tc>
        <w:tc>
          <w:tcPr>
            <w:tcW w:w="2334" w:type="dxa"/>
            <w:noWrap w:val="0"/>
            <w:vAlign w:val="top"/>
          </w:tcPr>
          <w:p>
            <w:pPr>
              <w:pStyle w:val="15"/>
              <w:spacing w:line="276" w:lineRule="auto"/>
              <w:ind w:firstLine="0"/>
              <w:outlineLvl w:val="0"/>
              <w:rPr>
                <w:rFonts w:hint="eastAsia" w:ascii="宋体" w:hAnsi="宋体" w:eastAsia="宋体"/>
                <w:color w:val="auto"/>
                <w:szCs w:val="24"/>
                <w:lang w:val="en-US" w:eastAsia="zh-CN"/>
              </w:rPr>
            </w:pPr>
            <w:r>
              <w:rPr>
                <w:rFonts w:hint="eastAsia" w:ascii="宋体" w:hAnsi="宋体" w:eastAsia="宋体"/>
                <w:color w:val="auto"/>
                <w:szCs w:val="24"/>
                <w:lang w:val="en-US" w:eastAsia="zh-CN"/>
              </w:rPr>
              <w:t>评比服务单价，不评比总价，但总价必须不超限价</w:t>
            </w:r>
          </w:p>
        </w:tc>
      </w:tr>
    </w:tbl>
    <w:p>
      <w:pPr>
        <w:pStyle w:val="3"/>
        <w:spacing w:before="120" w:beforeLines="50" w:line="276" w:lineRule="auto"/>
        <w:ind w:firstLine="482" w:firstLineChars="200"/>
        <w:rPr>
          <w:rFonts w:hint="eastAsia"/>
          <w:b/>
          <w:color w:val="auto"/>
          <w:sz w:val="24"/>
        </w:rPr>
      </w:pPr>
      <w:bookmarkStart w:id="4" w:name="_Toc441065655"/>
      <w:bookmarkStart w:id="5" w:name="_Toc19683"/>
      <w:r>
        <w:rPr>
          <w:rFonts w:hint="eastAsia"/>
          <w:b/>
          <w:color w:val="auto"/>
          <w:sz w:val="24"/>
          <w:lang w:eastAsia="zh-CN"/>
        </w:rPr>
        <w:t>二</w:t>
      </w:r>
      <w:r>
        <w:rPr>
          <w:rFonts w:hint="eastAsia"/>
          <w:b/>
          <w:color w:val="auto"/>
          <w:sz w:val="24"/>
        </w:rPr>
        <w:t>、供应商资格要求</w:t>
      </w:r>
      <w:bookmarkEnd w:id="4"/>
      <w:bookmarkEnd w:id="5"/>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合格供应商应首先符合政府采购法第二十二条规定的基本条件，同时符合根据该项目特点设置的特定资格条件。</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（一）基本资格条件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1、具有独立承担民事责任的能力；</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2、具有良好的商业信誉和健全的财务会计制度；</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3、具有履行合同所必需的设备和专业技术能力；</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4、有依法缴纳税收和社会保障资金的良好记录；</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5、参加政府采购活动前三年内，在经营活动中没有重大违法记录;</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6、法律、行政法规规定的其他条件。</w:t>
      </w:r>
    </w:p>
    <w:p>
      <w:pPr>
        <w:pStyle w:val="216"/>
        <w:numPr>
          <w:ilvl w:val="0"/>
          <w:numId w:val="0"/>
        </w:numPr>
        <w:ind w:leftChars="0"/>
        <w:rPr>
          <w:rFonts w:hint="eastAsia" w:ascii="宋体" w:hAnsi="宋体" w:eastAsia="宋体"/>
          <w:color w:val="auto"/>
          <w:sz w:val="24"/>
          <w:szCs w:val="24"/>
          <w:lang w:val="en-US" w:eastAsia="zh-CN"/>
        </w:rPr>
      </w:pPr>
      <w:r>
        <w:rPr>
          <w:rFonts w:hint="eastAsia" w:ascii="宋体" w:hAnsi="宋体"/>
          <w:color w:val="auto"/>
          <w:sz w:val="24"/>
          <w:szCs w:val="24"/>
        </w:rPr>
        <w:t>（二）特定资格条件：</w:t>
      </w:r>
      <w:r>
        <w:rPr>
          <w:rFonts w:hint="eastAsia" w:ascii="宋体" w:hAnsi="宋体"/>
          <w:color w:val="auto"/>
          <w:sz w:val="24"/>
          <w:szCs w:val="24"/>
          <w:lang w:eastAsia="zh-CN"/>
        </w:rPr>
        <w:t>无</w:t>
      </w:r>
      <w:bookmarkStart w:id="69" w:name="_GoBack"/>
      <w:bookmarkEnd w:id="69"/>
    </w:p>
    <w:p>
      <w:pPr>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特别说明：本项目不接受联合体参与磋商</w:t>
      </w:r>
    </w:p>
    <w:p>
      <w:pPr>
        <w:pStyle w:val="3"/>
        <w:spacing w:before="120" w:beforeLines="50" w:line="276" w:lineRule="auto"/>
        <w:rPr>
          <w:rFonts w:hint="eastAsia"/>
          <w:b/>
          <w:color w:val="auto"/>
          <w:sz w:val="24"/>
        </w:rPr>
      </w:pPr>
      <w:bookmarkStart w:id="6" w:name="_Toc441065656"/>
      <w:bookmarkStart w:id="7" w:name="_Toc9573"/>
      <w:r>
        <w:rPr>
          <w:rFonts w:hint="eastAsia"/>
          <w:b/>
          <w:color w:val="auto"/>
          <w:sz w:val="24"/>
          <w:lang w:eastAsia="zh-CN"/>
        </w:rPr>
        <w:t>三</w:t>
      </w:r>
      <w:r>
        <w:rPr>
          <w:rFonts w:hint="eastAsia"/>
          <w:b/>
          <w:color w:val="auto"/>
          <w:sz w:val="24"/>
        </w:rPr>
        <w:t>、磋商</w:t>
      </w:r>
      <w:bookmarkEnd w:id="6"/>
      <w:r>
        <w:rPr>
          <w:rFonts w:hint="eastAsia"/>
          <w:b/>
          <w:color w:val="auto"/>
          <w:sz w:val="24"/>
        </w:rPr>
        <w:t>报名</w:t>
      </w:r>
      <w:bookmarkEnd w:id="7"/>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凡有意参加磋商的供应商，自行在重庆市第九人民医院官网（</w:t>
      </w:r>
      <w:r>
        <w:rPr>
          <w:rFonts w:hint="eastAsia" w:ascii="宋体" w:hAnsi="宋体"/>
          <w:color w:val="auto"/>
          <w:sz w:val="24"/>
          <w:szCs w:val="24"/>
        </w:rPr>
        <w:fldChar w:fldCharType="begin"/>
      </w:r>
      <w:r>
        <w:rPr>
          <w:rFonts w:hint="eastAsia" w:ascii="宋体" w:hAnsi="宋体"/>
          <w:color w:val="auto"/>
          <w:sz w:val="24"/>
          <w:szCs w:val="24"/>
        </w:rPr>
        <w:instrText xml:space="preserve"> HYPERLINK "http://www.cqgp.gov.cn" </w:instrText>
      </w:r>
      <w:r>
        <w:rPr>
          <w:rFonts w:hint="eastAsia" w:ascii="宋体" w:hAnsi="宋体"/>
          <w:color w:val="auto"/>
          <w:sz w:val="24"/>
          <w:szCs w:val="24"/>
        </w:rPr>
        <w:fldChar w:fldCharType="separate"/>
      </w:r>
      <w:r>
        <w:rPr>
          <w:rFonts w:hint="eastAsia" w:ascii="宋体" w:hAnsi="宋体"/>
          <w:color w:val="auto"/>
        </w:rPr>
        <w:t>www.cq9yuan.com</w:t>
      </w:r>
      <w:r>
        <w:rPr>
          <w:rFonts w:hint="eastAsia" w:ascii="宋体" w:hAnsi="宋体"/>
          <w:color w:val="auto"/>
          <w:sz w:val="24"/>
          <w:szCs w:val="24"/>
        </w:rPr>
        <w:fldChar w:fldCharType="end"/>
      </w:r>
      <w:r>
        <w:rPr>
          <w:rFonts w:hint="eastAsia" w:ascii="宋体" w:hAnsi="宋体"/>
          <w:color w:val="auto"/>
          <w:sz w:val="24"/>
          <w:szCs w:val="24"/>
        </w:rPr>
        <w:t>）下载本项目磋商文件，无论供应商下载与否，均视为已知晓所有磋商内容。</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1、报名时间：北京时间 2021 年</w:t>
      </w:r>
      <w:r>
        <w:rPr>
          <w:rFonts w:hint="eastAsia" w:ascii="宋体" w:hAnsi="宋体"/>
          <w:color w:val="auto"/>
          <w:sz w:val="24"/>
          <w:szCs w:val="24"/>
          <w:lang w:val="en-US" w:eastAsia="zh-CN"/>
        </w:rPr>
        <w:t>11</w:t>
      </w:r>
      <w:r>
        <w:rPr>
          <w:rFonts w:hint="eastAsia" w:ascii="宋体" w:hAnsi="宋体"/>
          <w:color w:val="auto"/>
          <w:sz w:val="24"/>
          <w:szCs w:val="24"/>
        </w:rPr>
        <w:t>月 2</w:t>
      </w:r>
      <w:r>
        <w:rPr>
          <w:rFonts w:hint="eastAsia" w:ascii="宋体" w:hAnsi="宋体"/>
          <w:color w:val="auto"/>
          <w:sz w:val="24"/>
          <w:szCs w:val="24"/>
          <w:lang w:val="en-US" w:eastAsia="zh-CN"/>
        </w:rPr>
        <w:t>4</w:t>
      </w:r>
      <w:r>
        <w:rPr>
          <w:rFonts w:hint="eastAsia" w:ascii="宋体" w:hAnsi="宋体"/>
          <w:color w:val="auto"/>
          <w:sz w:val="24"/>
          <w:szCs w:val="24"/>
        </w:rPr>
        <w:t>日至</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30</w:t>
      </w:r>
      <w:r>
        <w:rPr>
          <w:rFonts w:hint="eastAsia" w:ascii="宋体" w:hAnsi="宋体"/>
          <w:color w:val="auto"/>
          <w:sz w:val="24"/>
          <w:szCs w:val="24"/>
        </w:rPr>
        <w:t>日 17:00 时前</w:t>
      </w:r>
      <w:r>
        <w:rPr>
          <w:rFonts w:hint="eastAsia" w:ascii="宋体" w:hAnsi="宋体"/>
          <w:color w:val="auto"/>
          <w:sz w:val="24"/>
          <w:szCs w:val="24"/>
          <w:lang w:eastAsia="zh-CN"/>
        </w:rPr>
        <w:t>，法定节假日除外</w:t>
      </w:r>
      <w:r>
        <w:rPr>
          <w:rFonts w:hint="eastAsia" w:ascii="宋体" w:hAnsi="宋体"/>
          <w:color w:val="auto"/>
          <w:sz w:val="24"/>
          <w:szCs w:val="24"/>
        </w:rPr>
        <w:t>。</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2、报名方式：在上述时段到重庆市第九人民医院外科综合楼M层信息科现场报名（地址：重庆市北碚区嘉陵村69号）。</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3、报名要求：报名时，必须持投标单位营业执照复印件、经办人的法人授权委托书及本人身份证。</w:t>
      </w:r>
    </w:p>
    <w:p>
      <w:pPr>
        <w:pStyle w:val="3"/>
        <w:spacing w:before="120" w:beforeLines="50" w:line="276" w:lineRule="auto"/>
        <w:ind w:firstLine="482" w:firstLineChars="200"/>
        <w:rPr>
          <w:rFonts w:hint="eastAsia"/>
          <w:b/>
          <w:color w:val="auto"/>
          <w:sz w:val="24"/>
        </w:rPr>
      </w:pPr>
      <w:bookmarkStart w:id="8" w:name="_Toc22332"/>
      <w:r>
        <w:rPr>
          <w:rFonts w:hint="eastAsia"/>
          <w:b/>
          <w:color w:val="auto"/>
          <w:sz w:val="24"/>
          <w:lang w:eastAsia="zh-CN"/>
        </w:rPr>
        <w:t>四</w:t>
      </w:r>
      <w:r>
        <w:rPr>
          <w:rFonts w:hint="eastAsia"/>
          <w:b/>
          <w:color w:val="auto"/>
          <w:sz w:val="24"/>
        </w:rPr>
        <w:t>、投标文件递交与磋商</w:t>
      </w:r>
      <w:bookmarkEnd w:id="8"/>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1、递交投标文件开始和截止时间：北京时间2021年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日上午 9:00</w:t>
      </w:r>
      <w:r>
        <w:rPr>
          <w:rFonts w:ascii="宋体" w:hAnsi="宋体"/>
          <w:color w:val="auto"/>
          <w:sz w:val="24"/>
          <w:szCs w:val="24"/>
        </w:rPr>
        <w:t>—</w:t>
      </w:r>
      <w:r>
        <w:rPr>
          <w:rFonts w:hint="eastAsia" w:ascii="宋体" w:hAnsi="宋体"/>
          <w:color w:val="auto"/>
          <w:sz w:val="24"/>
          <w:szCs w:val="24"/>
        </w:rPr>
        <w:t xml:space="preserve">9:30 </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2、磋商开始时间：北京时间2021年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 xml:space="preserve">日上午9:30 </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注：文件递交和磋商地址：重庆市第九人民医院外科综合楼M层信息科会议室</w:t>
      </w:r>
    </w:p>
    <w:p>
      <w:pPr>
        <w:pStyle w:val="3"/>
        <w:spacing w:before="120" w:beforeLines="50" w:line="276" w:lineRule="auto"/>
        <w:ind w:firstLine="482" w:firstLineChars="200"/>
        <w:rPr>
          <w:rFonts w:hint="eastAsia"/>
          <w:b/>
          <w:color w:val="auto"/>
          <w:sz w:val="24"/>
        </w:rPr>
      </w:pPr>
      <w:bookmarkStart w:id="9" w:name="_Toc20131"/>
      <w:bookmarkStart w:id="10" w:name="_Toc30947"/>
      <w:bookmarkStart w:id="11" w:name="_Toc532"/>
      <w:bookmarkStart w:id="12" w:name="_Toc69482339"/>
      <w:bookmarkStart w:id="13" w:name="_Toc17937"/>
      <w:bookmarkStart w:id="14" w:name="_Toc5940"/>
      <w:bookmarkStart w:id="15" w:name="_Toc4185"/>
      <w:bookmarkStart w:id="16" w:name="_Toc10309"/>
      <w:bookmarkStart w:id="17" w:name="_Toc1714"/>
      <w:bookmarkStart w:id="18" w:name="_Toc1937"/>
      <w:r>
        <w:rPr>
          <w:rFonts w:hint="eastAsia"/>
          <w:b/>
          <w:color w:val="auto"/>
          <w:sz w:val="24"/>
          <w:lang w:eastAsia="zh-CN"/>
        </w:rPr>
        <w:t>五</w:t>
      </w:r>
      <w:r>
        <w:rPr>
          <w:rFonts w:hint="eastAsia"/>
          <w:b/>
          <w:color w:val="auto"/>
          <w:sz w:val="24"/>
        </w:rPr>
        <w:t>、采购人联系方式</w:t>
      </w:r>
      <w:bookmarkEnd w:id="9"/>
      <w:bookmarkEnd w:id="10"/>
      <w:bookmarkEnd w:id="11"/>
      <w:bookmarkEnd w:id="12"/>
      <w:bookmarkEnd w:id="13"/>
      <w:bookmarkEnd w:id="14"/>
      <w:bookmarkEnd w:id="15"/>
      <w:bookmarkEnd w:id="16"/>
      <w:bookmarkEnd w:id="17"/>
      <w:bookmarkEnd w:id="18"/>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联系人： 李老师、杨老师；  联系电话：023-68209934</w:t>
      </w:r>
    </w:p>
    <w:p>
      <w:pPr>
        <w:pStyle w:val="3"/>
        <w:spacing w:before="120" w:beforeLines="50" w:line="276" w:lineRule="auto"/>
        <w:ind w:firstLine="482" w:firstLineChars="200"/>
        <w:rPr>
          <w:rFonts w:hint="eastAsia"/>
          <w:b/>
          <w:color w:val="auto"/>
          <w:sz w:val="24"/>
        </w:rPr>
      </w:pPr>
      <w:bookmarkStart w:id="19" w:name="_Toc441065657"/>
      <w:bookmarkStart w:id="20" w:name="_Toc32055"/>
      <w:r>
        <w:rPr>
          <w:rFonts w:hint="eastAsia"/>
          <w:b/>
          <w:color w:val="auto"/>
          <w:sz w:val="24"/>
          <w:lang w:eastAsia="zh-CN"/>
        </w:rPr>
        <w:t>六</w:t>
      </w:r>
      <w:r>
        <w:rPr>
          <w:rFonts w:hint="eastAsia"/>
          <w:b/>
          <w:color w:val="auto"/>
          <w:sz w:val="24"/>
        </w:rPr>
        <w:t>、磋商保证金</w:t>
      </w:r>
      <w:bookmarkEnd w:id="19"/>
      <w:bookmarkEnd w:id="20"/>
    </w:p>
    <w:p>
      <w:pPr>
        <w:snapToGrid w:val="0"/>
        <w:spacing w:line="276" w:lineRule="auto"/>
        <w:ind w:firstLine="480" w:firstLineChars="200"/>
        <w:rPr>
          <w:rFonts w:hint="eastAsia" w:ascii="宋体" w:hAnsi="宋体"/>
          <w:b/>
          <w:bCs/>
          <w:color w:val="auto"/>
          <w:sz w:val="24"/>
          <w:szCs w:val="24"/>
        </w:rPr>
      </w:pPr>
      <w:r>
        <w:rPr>
          <w:rFonts w:hint="eastAsia" w:ascii="宋体" w:hAnsi="宋体"/>
          <w:color w:val="auto"/>
          <w:sz w:val="24"/>
          <w:szCs w:val="24"/>
        </w:rPr>
        <w:t>1、供应商应足额交纳磋商保证金（保证金金额详见本篇，一、招标项目内容），并汇至以下账户，磋商保证金的到账截止时间同响应文件提交截止时间。</w:t>
      </w:r>
      <w:r>
        <w:rPr>
          <w:rFonts w:hint="eastAsia" w:ascii="宋体" w:hAnsi="宋体"/>
          <w:b/>
          <w:bCs/>
          <w:color w:val="auto"/>
          <w:sz w:val="24"/>
          <w:szCs w:val="24"/>
        </w:rPr>
        <w:t>（请各潜在供应商在缴纳投标保证金时一定按要求打款至以下指定账户，否则会导致投标无效）</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磋商保证金账户：</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户  名：重庆市第九人民医院</w:t>
      </w:r>
    </w:p>
    <w:tbl>
      <w:tblPr>
        <w:tblStyle w:val="58"/>
        <w:tblW w:w="7893" w:type="dxa"/>
        <w:jc w:val="center"/>
        <w:tblLayout w:type="fixed"/>
        <w:tblCellMar>
          <w:top w:w="0" w:type="dxa"/>
          <w:left w:w="0" w:type="dxa"/>
          <w:bottom w:w="0" w:type="dxa"/>
          <w:right w:w="0" w:type="dxa"/>
        </w:tblCellMar>
      </w:tblPr>
      <w:tblGrid>
        <w:gridCol w:w="2075"/>
        <w:gridCol w:w="5818"/>
      </w:tblGrid>
      <w:tr>
        <w:tblPrEx>
          <w:tblCellMar>
            <w:top w:w="0" w:type="dxa"/>
            <w:left w:w="0" w:type="dxa"/>
            <w:bottom w:w="0" w:type="dxa"/>
            <w:right w:w="0" w:type="dxa"/>
          </w:tblCellMar>
        </w:tblPrEx>
        <w:trPr>
          <w:trHeight w:val="444" w:hRule="exact"/>
          <w:jc w:val="center"/>
        </w:trPr>
        <w:tc>
          <w:tcPr>
            <w:tcW w:w="2075"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ascii="宋体" w:hAnsi="宋体" w:cs="宋体"/>
                <w:color w:val="auto"/>
                <w:spacing w:val="-2"/>
                <w:sz w:val="21"/>
                <w:szCs w:val="21"/>
              </w:rPr>
              <w:t>开户行</w:t>
            </w:r>
          </w:p>
        </w:tc>
        <w:tc>
          <w:tcPr>
            <w:tcW w:w="5818"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ascii="宋体" w:hAnsi="宋体" w:cs="宋体"/>
                <w:color w:val="auto"/>
                <w:spacing w:val="-2"/>
                <w:sz w:val="21"/>
                <w:szCs w:val="21"/>
              </w:rPr>
              <w:t>建行北碚支行</w:t>
            </w:r>
          </w:p>
        </w:tc>
      </w:tr>
      <w:tr>
        <w:tblPrEx>
          <w:tblCellMar>
            <w:top w:w="0" w:type="dxa"/>
            <w:left w:w="0" w:type="dxa"/>
            <w:bottom w:w="0" w:type="dxa"/>
            <w:right w:w="0" w:type="dxa"/>
          </w:tblCellMar>
        </w:tblPrEx>
        <w:trPr>
          <w:trHeight w:val="459" w:hRule="exact"/>
          <w:jc w:val="center"/>
        </w:trPr>
        <w:tc>
          <w:tcPr>
            <w:tcW w:w="2075"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ascii="宋体" w:hAnsi="宋体" w:cs="宋体"/>
                <w:color w:val="auto"/>
                <w:spacing w:val="-2"/>
                <w:sz w:val="21"/>
                <w:szCs w:val="21"/>
              </w:rPr>
              <w:t>账    号</w:t>
            </w:r>
          </w:p>
        </w:tc>
        <w:tc>
          <w:tcPr>
            <w:tcW w:w="5818"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cs="宋体"/>
                <w:color w:val="auto"/>
                <w:sz w:val="24"/>
              </w:rPr>
              <w:t>5000 1093 6000 5001 2527</w:t>
            </w:r>
          </w:p>
        </w:tc>
      </w:tr>
    </w:tbl>
    <w:p>
      <w:pPr>
        <w:numPr>
          <w:ilvl w:val="0"/>
          <w:numId w:val="17"/>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供应商在递交保证金时，应在付款凭证备注栏中注明项目名称（项目名称：</w:t>
      </w:r>
      <w:r>
        <w:rPr>
          <w:rFonts w:hint="eastAsia" w:ascii="宋体" w:hAnsi="宋体" w:eastAsia="宋体" w:cs="Times New Roman"/>
          <w:color w:val="auto"/>
          <w:sz w:val="24"/>
          <w:szCs w:val="24"/>
          <w:u w:val="single"/>
          <w:lang w:val="en-US" w:eastAsia="zh-CN"/>
        </w:rPr>
        <w:t>全息三维医学影像手术及治疗计划服务，可简称为“三维重建服务”</w:t>
      </w:r>
      <w:r>
        <w:rPr>
          <w:rFonts w:hint="eastAsia" w:ascii="宋体" w:hAnsi="宋体"/>
          <w:color w:val="auto"/>
          <w:sz w:val="24"/>
          <w:szCs w:val="24"/>
        </w:rPr>
        <w:t>），</w:t>
      </w:r>
      <w:r>
        <w:rPr>
          <w:rFonts w:hint="eastAsia" w:ascii="宋体" w:hAnsi="宋体"/>
          <w:b/>
          <w:bCs/>
          <w:color w:val="auto"/>
          <w:sz w:val="24"/>
          <w:szCs w:val="24"/>
        </w:rPr>
        <w:t>到款账户为上述指定的保证金专用账户，</w:t>
      </w:r>
      <w:r>
        <w:rPr>
          <w:rFonts w:hint="eastAsia" w:ascii="宋体" w:hAnsi="宋体"/>
          <w:color w:val="auto"/>
          <w:sz w:val="24"/>
          <w:szCs w:val="24"/>
        </w:rPr>
        <w:t>来款账户必须与参与磋商的供应商名称一致。</w:t>
      </w:r>
    </w:p>
    <w:p>
      <w:pPr>
        <w:numPr>
          <w:ilvl w:val="0"/>
          <w:numId w:val="17"/>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参与磋商的供应商在银行转账（电汇）时，须充分考虑银行转账（电汇）的时间差风险，如同城转账、异地转账或汇款、跨行转账或电汇的时间要求。如因时间差等原因导致在磋商保证金到账截止时间内，无法查实磋商保证金是否到账的，将视为无效投标，该后果由供应商自行承担。（供应商参与磋商时应手持磋商保证金付款凭证以备查验）</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4、如本次采购终止，在本次磋商中缴纳保证金的供应商，若参加本项目下一次采购需要重新缴纳保证金，本次的磋商保证金会按照相关程序进行退还。</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5、保证金退还方式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（1）未成交供应商的保证金，在成交通知书发放后，采购人在五个工作日内按来款渠道直接退还。</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（2）成交供应商的保证金，在成交供应商与采购人签订合同后，采购人在五个工作日内按资金来款渠道直接退还。</w:t>
      </w:r>
    </w:p>
    <w:p>
      <w:pPr>
        <w:snapToGrid w:val="0"/>
        <w:spacing w:line="276" w:lineRule="auto"/>
        <w:ind w:firstLine="480" w:firstLineChars="200"/>
        <w:rPr>
          <w:rFonts w:hint="eastAsia" w:ascii="宋体" w:hAnsi="宋体"/>
          <w:color w:val="auto"/>
        </w:rPr>
      </w:pPr>
      <w:r>
        <w:rPr>
          <w:rFonts w:hint="eastAsia" w:ascii="宋体" w:hAnsi="宋体"/>
          <w:color w:val="auto"/>
          <w:sz w:val="24"/>
          <w:szCs w:val="24"/>
        </w:rPr>
        <w:t>6、保证金查询电话：023-68203422</w:t>
      </w:r>
    </w:p>
    <w:p>
      <w:pPr>
        <w:pStyle w:val="3"/>
        <w:spacing w:before="120" w:beforeLines="50" w:line="276" w:lineRule="auto"/>
        <w:ind w:firstLine="482" w:firstLineChars="200"/>
        <w:rPr>
          <w:rFonts w:hint="eastAsia"/>
          <w:b/>
          <w:color w:val="auto"/>
          <w:sz w:val="24"/>
        </w:rPr>
      </w:pPr>
      <w:bookmarkStart w:id="21" w:name="_Toc16321"/>
      <w:r>
        <w:rPr>
          <w:rFonts w:hint="eastAsia"/>
          <w:b/>
          <w:color w:val="auto"/>
          <w:sz w:val="24"/>
          <w:lang w:eastAsia="zh-CN"/>
        </w:rPr>
        <w:t>七</w:t>
      </w:r>
      <w:r>
        <w:rPr>
          <w:rFonts w:hint="eastAsia"/>
          <w:b/>
          <w:color w:val="auto"/>
          <w:sz w:val="24"/>
        </w:rPr>
        <w:t>、采购项目需落实的政府采购政策</w:t>
      </w:r>
      <w:bookmarkEnd w:id="21"/>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（二）按照《财政部 工业和信息化部关于印发&lt;政府采购促进中小企业发展暂行办法&gt;的通知》（财库〔2011〕181号）的规定，落实促进中小企业发展政策。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（三）按照《财政部、司法部关于政府采购支持监狱企业发展有关问题的通知》（财库〔2014〕68号）的规定，落实支持监狱企业发展政策。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（四）按照《三部门联合发布关于促进残疾人就业政府采购政策的通知》（财库〔2017〕 141号）的规定，落实支持残疾人福利性单位发展政策。</w:t>
      </w:r>
    </w:p>
    <w:p>
      <w:pPr>
        <w:pStyle w:val="3"/>
        <w:spacing w:line="276" w:lineRule="auto"/>
        <w:ind w:firstLine="482" w:firstLineChars="200"/>
        <w:rPr>
          <w:rFonts w:hint="eastAsia"/>
          <w:b/>
          <w:color w:val="auto"/>
          <w:sz w:val="24"/>
        </w:rPr>
      </w:pPr>
      <w:bookmarkStart w:id="22" w:name="_Toc441065658"/>
      <w:bookmarkStart w:id="23" w:name="_Toc10082"/>
      <w:r>
        <w:rPr>
          <w:rFonts w:hint="eastAsia"/>
          <w:b/>
          <w:color w:val="auto"/>
          <w:sz w:val="24"/>
          <w:lang w:eastAsia="zh-CN"/>
        </w:rPr>
        <w:t>八</w:t>
      </w:r>
      <w:r>
        <w:rPr>
          <w:rFonts w:hint="eastAsia"/>
          <w:b/>
          <w:color w:val="auto"/>
          <w:sz w:val="24"/>
        </w:rPr>
        <w:t>、磋商有关规定</w:t>
      </w:r>
      <w:bookmarkEnd w:id="22"/>
      <w:bookmarkEnd w:id="23"/>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（一）单位负责人为同一人或者存在直接控股、管理关系的不同供应商，不得参加同一合同项（分包）下的采购活动。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（二）为采购项目提供整体设计、规范编制或者项目管理、监理、检测等服务的供应商，不得再参加该采购项目的其他采购活动。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（三）本项目的补遗文件（如果有）一律在重庆市第九人民医院官方网站（www.cq9yuan.com）上发布，请各供应商注意下载；无论供应商下载与否，均视同供应商已知晓本项目补遗文件的内容。</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（五）供应商须满足以下三种要件，其响应文件才被接受：</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1、响应文件提交截止时间前按时签到；</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2、响应文件提交截止时间前完成了响应文件的递交；</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3、提交响应文件截止时间前缴纳（采购人收到款项时间为准）磋商保证金。</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（六）磋商费用：无论磋商结果如何，供应商参与本项目的所有费用均应由供应商自行承担。</w:t>
      </w:r>
    </w:p>
    <w:p>
      <w:pPr>
        <w:pStyle w:val="2"/>
        <w:spacing w:before="0" w:beforeLines="0" w:after="0" w:afterLines="0" w:line="276" w:lineRule="auto"/>
        <w:rPr>
          <w:rFonts w:hint="eastAsia" w:ascii="宋体" w:hAnsi="宋体" w:eastAsia="宋体"/>
          <w:color w:val="auto"/>
        </w:rPr>
      </w:pPr>
      <w:bookmarkStart w:id="24" w:name="_Toc441065660"/>
      <w:r>
        <w:rPr>
          <w:rFonts w:ascii="宋体" w:hAnsi="宋体" w:eastAsia="宋体"/>
          <w:color w:val="auto"/>
        </w:rPr>
        <w:br w:type="page"/>
      </w:r>
      <w:bookmarkStart w:id="25" w:name="_Toc21936"/>
      <w:r>
        <w:rPr>
          <w:rFonts w:hint="eastAsia" w:ascii="宋体" w:hAnsi="宋体" w:eastAsia="宋体"/>
          <w:color w:val="auto"/>
        </w:rPr>
        <w:t>第二篇 项目具体要求</w:t>
      </w:r>
      <w:bookmarkEnd w:id="24"/>
      <w:bookmarkEnd w:id="25"/>
      <w:bookmarkStart w:id="26" w:name="_Toc441065661"/>
    </w:p>
    <w:bookmarkEnd w:id="26"/>
    <w:p>
      <w:pPr>
        <w:pStyle w:val="221"/>
        <w:adjustRightInd w:val="0"/>
        <w:snapToGrid w:val="0"/>
        <w:spacing w:before="0" w:line="276" w:lineRule="auto"/>
        <w:ind w:firstLine="480" w:firstLineChars="200"/>
        <w:rPr>
          <w:rFonts w:hint="eastAsia" w:ascii="宋体" w:hAnsi="宋体" w:eastAsia="宋体"/>
          <w:color w:val="auto"/>
        </w:rPr>
      </w:pPr>
    </w:p>
    <w:p>
      <w:pPr>
        <w:pStyle w:val="3"/>
        <w:spacing w:line="276" w:lineRule="auto"/>
        <w:jc w:val="center"/>
        <w:rPr>
          <w:rFonts w:hint="eastAsia"/>
          <w:b/>
          <w:color w:val="auto"/>
          <w:sz w:val="32"/>
          <w:szCs w:val="22"/>
        </w:rPr>
      </w:pPr>
      <w:bookmarkStart w:id="27" w:name="_Toc613"/>
      <w:r>
        <w:rPr>
          <w:rFonts w:hint="eastAsia"/>
          <w:b/>
          <w:color w:val="auto"/>
          <w:sz w:val="32"/>
          <w:szCs w:val="22"/>
        </w:rPr>
        <w:t>第一部分 技术要求</w:t>
      </w:r>
      <w:bookmarkEnd w:id="27"/>
    </w:p>
    <w:p>
      <w:pPr>
        <w:pStyle w:val="25"/>
        <w:ind w:left="0" w:leftChars="0" w:firstLine="0" w:firstLineChars="0"/>
        <w:rPr>
          <w:rFonts w:hint="eastAsia" w:ascii="宋体" w:hAnsi="宋体" w:cs="宋体"/>
          <w:b/>
          <w:color w:val="auto"/>
          <w:kern w:val="44"/>
          <w:sz w:val="28"/>
          <w:szCs w:val="28"/>
        </w:rPr>
      </w:pPr>
    </w:p>
    <w:p>
      <w:pPr>
        <w:pStyle w:val="4"/>
        <w:spacing w:before="120" w:after="0" w:line="360" w:lineRule="auto"/>
        <w:jc w:val="left"/>
        <w:rPr>
          <w:rFonts w:ascii="宋体" w:hAnsi="宋体" w:cs="宋体"/>
          <w:b/>
          <w:bCs/>
          <w:color w:val="auto"/>
          <w:sz w:val="28"/>
          <w:szCs w:val="28"/>
        </w:rPr>
      </w:pPr>
      <w:r>
        <w:rPr>
          <w:rFonts w:hint="eastAsia" w:ascii="宋体" w:hAnsi="宋体" w:cs="宋体"/>
          <w:b/>
          <w:bCs/>
          <w:color w:val="auto"/>
          <w:sz w:val="28"/>
          <w:szCs w:val="28"/>
          <w:lang w:eastAsia="zh-CN"/>
        </w:rPr>
        <w:t>一、</w:t>
      </w:r>
      <w:r>
        <w:rPr>
          <w:rFonts w:hint="eastAsia" w:ascii="宋体" w:hAnsi="宋体" w:cs="宋体"/>
          <w:b/>
          <w:bCs/>
          <w:color w:val="auto"/>
          <w:sz w:val="28"/>
          <w:szCs w:val="28"/>
        </w:rPr>
        <w:t>项目</w:t>
      </w:r>
      <w:r>
        <w:rPr>
          <w:rFonts w:hint="eastAsia" w:ascii="宋体" w:hAnsi="宋体" w:eastAsia="宋体" w:cs="Times New Roman"/>
          <w:b/>
          <w:color w:val="auto"/>
          <w:sz w:val="28"/>
          <w:szCs w:val="28"/>
        </w:rPr>
        <w:t>概况</w:t>
      </w:r>
    </w:p>
    <w:p>
      <w:pPr>
        <w:spacing w:line="360" w:lineRule="auto"/>
        <w:rPr>
          <w:rFonts w:ascii="宋体" w:hAnsi="宋体" w:cs="宋体"/>
          <w:color w:val="auto"/>
          <w:sz w:val="24"/>
        </w:rPr>
      </w:pPr>
      <w:r>
        <w:rPr>
          <w:rFonts w:hint="eastAsia" w:ascii="宋体" w:hAnsi="宋体" w:cs="宋体"/>
          <w:b/>
          <w:bCs/>
          <w:color w:val="auto"/>
          <w:sz w:val="24"/>
        </w:rPr>
        <w:t>1</w:t>
      </w:r>
      <w:r>
        <w:rPr>
          <w:rFonts w:hint="eastAsia" w:ascii="宋体" w:hAnsi="宋体" w:cs="宋体"/>
          <w:b/>
          <w:bCs/>
          <w:color w:val="auto"/>
          <w:sz w:val="24"/>
          <w:lang w:eastAsia="zh-CN"/>
        </w:rPr>
        <w:t>、</w:t>
      </w:r>
      <w:r>
        <w:rPr>
          <w:rFonts w:hint="eastAsia" w:ascii="宋体" w:hAnsi="宋体" w:cs="宋体"/>
          <w:b/>
          <w:bCs/>
          <w:color w:val="auto"/>
          <w:sz w:val="24"/>
        </w:rPr>
        <w:t>医学影像三维重建技术临床应用：</w:t>
      </w:r>
    </w:p>
    <w:p>
      <w:pPr>
        <w:snapToGrid w:val="0"/>
        <w:spacing w:line="276" w:lineRule="auto"/>
        <w:ind w:firstLine="480" w:firstLineChars="200"/>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rPr>
        <w:t>随着数字医学及微创外科的发展,数字化微创技术应运而生。自20世纪90年代起,综合了计算机图像处理与分析、真实感计算机图形学、虚拟现实等技术的医学影像的三维技术在近10年的时间里有了突飞猛进的发展</w:t>
      </w:r>
      <w:r>
        <w:rPr>
          <w:rFonts w:hint="eastAsia" w:ascii="宋体" w:hAnsi="宋体" w:eastAsia="宋体" w:cs="Times New Roman"/>
          <w:color w:val="auto"/>
          <w:sz w:val="24"/>
          <w:szCs w:val="24"/>
          <w:lang w:eastAsia="zh-CN"/>
        </w:rPr>
        <w:t>，</w:t>
      </w:r>
      <w:r>
        <w:rPr>
          <w:rFonts w:hint="eastAsia" w:ascii="宋体" w:hAnsi="宋体" w:eastAsia="宋体" w:cs="Times New Roman"/>
          <w:color w:val="auto"/>
          <w:sz w:val="24"/>
          <w:szCs w:val="24"/>
        </w:rPr>
        <w:t>在术前疾病诊断、手术设计及教学和仿真手术训练等方面是数字医学技术应用的一个重要领域。</w:t>
      </w:r>
      <w:r>
        <w:rPr>
          <w:rFonts w:hint="eastAsia" w:ascii="宋体" w:hAnsi="宋体" w:eastAsia="宋体" w:cs="Times New Roman"/>
          <w:color w:val="auto"/>
          <w:sz w:val="24"/>
          <w:szCs w:val="24"/>
          <w:lang w:eastAsia="zh-CN"/>
        </w:rPr>
        <w:t>该技术用于临床，有助于</w:t>
      </w:r>
      <w:r>
        <w:rPr>
          <w:rFonts w:hint="eastAsia" w:ascii="宋体" w:hAnsi="宋体" w:eastAsia="宋体" w:cs="Times New Roman"/>
          <w:color w:val="auto"/>
          <w:sz w:val="24"/>
          <w:szCs w:val="24"/>
        </w:rPr>
        <w:t>降低诊断及手术风险</w:t>
      </w:r>
      <w:r>
        <w:rPr>
          <w:rFonts w:hint="eastAsia" w:ascii="宋体" w:hAnsi="宋体" w:eastAsia="宋体" w:cs="Times New Roman"/>
          <w:color w:val="auto"/>
          <w:sz w:val="24"/>
          <w:szCs w:val="24"/>
          <w:lang w:eastAsia="zh-CN"/>
        </w:rPr>
        <w:t>、</w:t>
      </w:r>
      <w:r>
        <w:rPr>
          <w:rFonts w:hint="eastAsia" w:ascii="宋体" w:hAnsi="宋体" w:eastAsia="宋体" w:cs="Times New Roman"/>
          <w:color w:val="auto"/>
          <w:sz w:val="24"/>
          <w:szCs w:val="24"/>
        </w:rPr>
        <w:t>减少医患纠纷</w:t>
      </w:r>
      <w:r>
        <w:rPr>
          <w:rFonts w:hint="eastAsia" w:ascii="宋体" w:hAnsi="宋体" w:eastAsia="宋体" w:cs="Times New Roman"/>
          <w:color w:val="auto"/>
          <w:sz w:val="24"/>
          <w:szCs w:val="24"/>
          <w:lang w:eastAsia="zh-CN"/>
        </w:rPr>
        <w:t>、</w:t>
      </w:r>
      <w:r>
        <w:rPr>
          <w:rFonts w:hint="eastAsia" w:ascii="宋体" w:hAnsi="宋体" w:eastAsia="宋体" w:cs="Times New Roman"/>
          <w:color w:val="auto"/>
          <w:sz w:val="24"/>
          <w:szCs w:val="24"/>
        </w:rPr>
        <w:t>提升医院临床诊疗水平、促进科研教学</w:t>
      </w:r>
      <w:r>
        <w:rPr>
          <w:rFonts w:hint="eastAsia" w:ascii="宋体" w:hAnsi="宋体" w:eastAsia="宋体" w:cs="Times New Roman"/>
          <w:color w:val="auto"/>
          <w:sz w:val="24"/>
          <w:szCs w:val="24"/>
          <w:lang w:eastAsia="zh-CN"/>
        </w:rPr>
        <w:t>发展。</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lang w:val="en-US" w:eastAsia="zh-CN"/>
        </w:rPr>
        <w:t>2、</w:t>
      </w:r>
      <w:r>
        <w:rPr>
          <w:rFonts w:hint="eastAsia" w:ascii="宋体" w:hAnsi="宋体" w:eastAsia="宋体" w:cs="宋体"/>
          <w:b/>
          <w:bCs/>
          <w:color w:val="auto"/>
          <w:sz w:val="24"/>
          <w:lang w:eastAsia="zh-CN"/>
        </w:rPr>
        <w:t>本项目要求</w:t>
      </w:r>
      <w:r>
        <w:rPr>
          <w:rFonts w:hint="eastAsia" w:ascii="宋体" w:hAnsi="宋体" w:eastAsia="宋体" w:cs="宋体"/>
          <w:b/>
          <w:bCs/>
          <w:color w:val="auto"/>
          <w:sz w:val="24"/>
        </w:rPr>
        <w:t>：</w:t>
      </w:r>
    </w:p>
    <w:p>
      <w:pPr>
        <w:snapToGrid w:val="0"/>
        <w:spacing w:line="276" w:lineRule="auto"/>
        <w:ind w:firstLine="480" w:firstLineChars="200"/>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通过本项目采购，确定中标单价和中标总价；</w:t>
      </w:r>
      <w:r>
        <w:rPr>
          <w:rFonts w:hint="eastAsia" w:ascii="宋体" w:hAnsi="宋体" w:eastAsia="宋体" w:cs="Times New Roman"/>
          <w:color w:val="auto"/>
          <w:sz w:val="24"/>
          <w:szCs w:val="24"/>
          <w:lang w:val="en-US" w:eastAsia="zh-CN"/>
        </w:rPr>
        <w:t>中标人自行配置软硬件系统，从采购人现场提取数据，按采购人需求进行</w:t>
      </w:r>
      <w:r>
        <w:rPr>
          <w:rFonts w:hint="eastAsia" w:ascii="宋体" w:hAnsi="宋体" w:eastAsia="宋体" w:cs="Times New Roman"/>
          <w:color w:val="auto"/>
          <w:sz w:val="24"/>
          <w:szCs w:val="24"/>
          <w:u w:val="none"/>
          <w:lang w:val="en-US" w:eastAsia="zh-CN"/>
        </w:rPr>
        <w:t>全息三维医学影像手术及治疗计划服务</w:t>
      </w:r>
      <w:r>
        <w:rPr>
          <w:rFonts w:hint="eastAsia" w:ascii="宋体" w:hAnsi="宋体" w:eastAsia="宋体" w:cs="Times New Roman"/>
          <w:color w:val="auto"/>
          <w:sz w:val="24"/>
          <w:szCs w:val="24"/>
          <w:lang w:val="en-US" w:eastAsia="zh-CN"/>
        </w:rPr>
        <w:t>（以下简称三维重建），采购人对每次三维重建进行验收，验收合格的服务方可支付服务费；在不超过中标总价的前提下，采购人按本文件说明的付款方式向中标人支付服务费用。</w:t>
      </w:r>
    </w:p>
    <w:p>
      <w:pPr>
        <w:numPr>
          <w:ilvl w:val="0"/>
          <w:numId w:val="0"/>
        </w:numPr>
        <w:rPr>
          <w:rFonts w:hint="eastAsia"/>
          <w:color w:val="auto"/>
        </w:rPr>
      </w:pPr>
    </w:p>
    <w:p>
      <w:pPr>
        <w:pStyle w:val="4"/>
        <w:spacing w:before="120" w:after="0" w:line="360" w:lineRule="auto"/>
        <w:jc w:val="left"/>
        <w:rPr>
          <w:rFonts w:hint="eastAsia" w:ascii="宋体" w:hAnsi="宋体"/>
          <w:color w:val="auto"/>
          <w:sz w:val="28"/>
          <w:szCs w:val="28"/>
        </w:rPr>
      </w:pPr>
      <w:r>
        <w:rPr>
          <w:rFonts w:hint="eastAsia" w:ascii="宋体" w:hAnsi="宋体"/>
          <w:color w:val="auto"/>
          <w:sz w:val="28"/>
          <w:szCs w:val="28"/>
        </w:rPr>
        <w:t>二、主要功能参数及要求</w:t>
      </w:r>
    </w:p>
    <w:tbl>
      <w:tblPr>
        <w:tblStyle w:val="58"/>
        <w:tblW w:w="4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755"/>
        <w:gridCol w:w="431"/>
        <w:gridCol w:w="833"/>
        <w:gridCol w:w="5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b/>
                <w:color w:val="auto"/>
                <w:kern w:val="0"/>
                <w:sz w:val="21"/>
                <w:szCs w:val="21"/>
              </w:rPr>
            </w:pPr>
            <w:r>
              <w:rPr>
                <w:rFonts w:hint="eastAsia" w:ascii="宋体" w:hAnsi="宋体"/>
                <w:b/>
                <w:color w:val="auto"/>
                <w:kern w:val="0"/>
                <w:sz w:val="21"/>
                <w:szCs w:val="21"/>
                <w:lang w:bidi="ar"/>
              </w:rPr>
              <w:t>序号</w:t>
            </w:r>
          </w:p>
        </w:tc>
        <w:tc>
          <w:tcPr>
            <w:tcW w:w="1208" w:type="pct"/>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b/>
                <w:color w:val="auto"/>
                <w:kern w:val="0"/>
                <w:sz w:val="21"/>
                <w:szCs w:val="21"/>
              </w:rPr>
            </w:pPr>
            <w:r>
              <w:rPr>
                <w:rFonts w:hint="eastAsia" w:ascii="宋体" w:hAnsi="宋体"/>
                <w:b/>
                <w:color w:val="auto"/>
                <w:kern w:val="0"/>
                <w:sz w:val="21"/>
                <w:szCs w:val="21"/>
                <w:lang w:bidi="ar"/>
              </w:rPr>
              <w:t>功能模块</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b/>
                <w:color w:val="auto"/>
                <w:kern w:val="0"/>
                <w:sz w:val="21"/>
                <w:szCs w:val="21"/>
              </w:rPr>
            </w:pPr>
            <w:r>
              <w:rPr>
                <w:rFonts w:hint="eastAsia" w:ascii="宋体" w:hAnsi="宋体"/>
                <w:b/>
                <w:color w:val="auto"/>
                <w:kern w:val="0"/>
                <w:sz w:val="21"/>
                <w:szCs w:val="21"/>
                <w:lang w:bidi="ar"/>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restart"/>
            <w:tcBorders>
              <w:top w:val="single" w:color="auto" w:sz="4" w:space="0"/>
              <w:left w:val="single" w:color="auto" w:sz="4" w:space="0"/>
              <w:right w:val="single" w:color="auto" w:sz="4" w:space="0"/>
            </w:tcBorders>
            <w:noWrap/>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三维重建手术系统</w:t>
            </w:r>
          </w:p>
        </w:tc>
        <w:tc>
          <w:tcPr>
            <w:tcW w:w="257" w:type="pct"/>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重</w:t>
            </w:r>
          </w:p>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建</w:t>
            </w:r>
          </w:p>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模</w:t>
            </w:r>
          </w:p>
          <w:p>
            <w:pPr>
              <w:spacing w:line="276" w:lineRule="auto"/>
              <w:jc w:val="center"/>
              <w:rPr>
                <w:rFonts w:ascii="宋体" w:hAnsi="宋体" w:eastAsia="宋体" w:cs="宋体"/>
                <w:color w:val="auto"/>
                <w:kern w:val="0"/>
                <w:sz w:val="21"/>
                <w:szCs w:val="21"/>
              </w:rPr>
            </w:pPr>
            <w:r>
              <w:rPr>
                <w:rFonts w:hint="eastAsia" w:ascii="宋体" w:hAnsi="宋体" w:eastAsia="宋体" w:cs="Times New Roman"/>
                <w:color w:val="auto"/>
                <w:sz w:val="21"/>
                <w:szCs w:val="21"/>
              </w:rPr>
              <w:t>块</w:t>
            </w: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基础功能</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rPr>
              <w:t>胸、腹腔内肝、胆、胰、脾、胃、十二指肠、肾脏、输尿管、肺、相应动脉、静脉、门脉、支气管及骨骼重建：精准、快速、自动化的腹腔CT影像分割重建解决方案。支持扩展全身其他组织器官重建，具备多种分割，裁剪、绘制工具</w:t>
            </w:r>
            <w:r>
              <w:rPr>
                <w:rFonts w:hint="eastAsia" w:ascii="宋体" w:hAnsi="宋体" w:eastAsia="宋体"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spacing w:line="360" w:lineRule="auto"/>
              <w:rPr>
                <w:rFonts w:ascii="宋体" w:hAnsi="宋体" w:eastAsia="宋体" w:cs="宋体"/>
                <w:color w:val="auto"/>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心脏外科需求</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eastAsia="宋体" w:cs="宋体"/>
                <w:color w:val="auto"/>
                <w:sz w:val="21"/>
                <w:szCs w:val="21"/>
              </w:rPr>
            </w:pPr>
            <w:r>
              <w:rPr>
                <w:rFonts w:hint="eastAsia" w:ascii="宋体" w:hAnsi="宋体"/>
                <w:color w:val="auto"/>
                <w:sz w:val="21"/>
                <w:szCs w:val="21"/>
              </w:rPr>
              <w:t>★</w:t>
            </w:r>
            <w:r>
              <w:rPr>
                <w:rFonts w:hint="eastAsia" w:ascii="宋体" w:hAnsi="宋体" w:eastAsia="宋体" w:cs="宋体"/>
                <w:color w:val="auto"/>
                <w:sz w:val="21"/>
                <w:szCs w:val="21"/>
              </w:rPr>
              <w:t>标记左右心房、左右心室、主动脉、肺动脉以及其他感兴趣的对应区域，分割冠状动脉，通过软件自动计算，从而进行三维显示，并一次性三维重建获得三维模型。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spacing w:line="360" w:lineRule="auto"/>
              <w:rPr>
                <w:rFonts w:ascii="宋体" w:hAnsi="宋体" w:eastAsia="宋体" w:cs="宋体"/>
                <w:color w:val="auto"/>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肺组织需求</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 xml:space="preserve"> 支持肺叶重建、肺叶分段，可通过人工智能标记后测算肺段体积，确定段间平面等手动操作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spacing w:line="360" w:lineRule="auto"/>
              <w:rPr>
                <w:rFonts w:ascii="宋体" w:hAnsi="宋体" w:eastAsia="宋体" w:cs="宋体"/>
                <w:color w:val="auto"/>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肝胆组织需求</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•肝段体积计算</w:t>
            </w:r>
          </w:p>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•自动生成肝动脉、肝静脉、门静脉</w:t>
            </w:r>
          </w:p>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•自动辨识肝肿瘤、囊肿</w:t>
            </w:r>
          </w:p>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•术前预估肝组织功能保留情况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spacing w:line="360" w:lineRule="auto"/>
              <w:rPr>
                <w:rFonts w:ascii="宋体" w:hAnsi="宋体" w:eastAsia="宋体" w:cs="宋体"/>
                <w:color w:val="auto"/>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泌尿组织需求</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•肾动脉、肾静脉可识别至四级分支</w:t>
            </w:r>
          </w:p>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•肾盂输尿管自动辨识</w:t>
            </w:r>
          </w:p>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•自动进行肾段分割</w:t>
            </w:r>
          </w:p>
          <w:p>
            <w:pPr>
              <w:spacing w:line="276" w:lineRule="auto"/>
              <w:rPr>
                <w:rFonts w:ascii="宋体" w:hAnsi="宋体" w:eastAsia="宋体" w:cs="宋体"/>
                <w:color w:val="auto"/>
                <w:sz w:val="21"/>
                <w:szCs w:val="21"/>
              </w:rPr>
            </w:pPr>
            <w:r>
              <w:rPr>
                <w:rFonts w:hint="eastAsia" w:ascii="宋体" w:hAnsi="宋体" w:eastAsia="宋体" w:cs="宋体"/>
                <w:color w:val="auto"/>
                <w:sz w:val="21"/>
                <w:szCs w:val="21"/>
              </w:rPr>
              <w:t>•肾上腺位置自动辨识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spacing w:line="360" w:lineRule="auto"/>
              <w:rPr>
                <w:rFonts w:ascii="宋体" w:hAnsi="宋体" w:eastAsia="宋体" w:cs="宋体"/>
                <w:color w:val="auto"/>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妇科需求</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eastAsia="宋体" w:cs="宋体"/>
                <w:color w:val="auto"/>
                <w:sz w:val="21"/>
                <w:szCs w:val="21"/>
              </w:rPr>
            </w:pPr>
            <w:r>
              <w:rPr>
                <w:rFonts w:hint="eastAsia" w:ascii="宋体" w:hAnsi="宋体"/>
                <w:color w:val="auto"/>
                <w:sz w:val="21"/>
                <w:szCs w:val="21"/>
              </w:rPr>
              <w:t>★</w:t>
            </w:r>
            <w:r>
              <w:rPr>
                <w:rFonts w:hint="eastAsia" w:ascii="宋体" w:hAnsi="宋体" w:eastAsia="宋体" w:cs="宋体"/>
                <w:color w:val="auto"/>
                <w:kern w:val="0"/>
                <w:sz w:val="21"/>
                <w:szCs w:val="21"/>
              </w:rPr>
              <w:t>支持重建盆腔器官、血管、病变的CT、MR重建，并支持CT\MR拟合功能。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功</w:t>
            </w:r>
          </w:p>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能</w:t>
            </w:r>
          </w:p>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模</w:t>
            </w:r>
          </w:p>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块</w:t>
            </w: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手术模拟与规划</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1.非解剖性切除模拟：支持三维模型的模拟切除，实时显示切除体积、及体积占比；具备多种切除功能，支持全部器官切除显示；具备切除方案保存功能，可进行多种切除方案的规划。</w:t>
            </w:r>
          </w:p>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2.解剖性切除模拟：具备肝脏门脉和静脉、肺支气管分段及流域分析、肾脏动脉分段功能。具备多段分析，并实时调整分段透明度显示，实时显示分段体积及占比，多段可调整。具备方案保存功能，可进行多种切除方案的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tabs>
                <w:tab w:val="left" w:pos="312"/>
              </w:tabs>
              <w:spacing w:line="276" w:lineRule="auto"/>
              <w:rPr>
                <w:rFonts w:ascii="宋体" w:hAnsi="宋体" w:eastAsia="宋体" w:cs="宋体"/>
                <w:color w:val="auto"/>
                <w:kern w:val="0"/>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消融手术规划</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支持二维、三维经皮入路手术模拟规划，测量穿刺点，穿刺角度，以及穿刺点到器官表面到肿瘤表面的距离。“虚拟消融范围设定”，调整消融作用范围，辅助消融手术模拟。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宋体" w:hAnsi="宋体" w:eastAsia="宋体" w:cs="宋体"/>
                <w:color w:val="auto"/>
                <w:kern w:val="0"/>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数据服务</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★提供包含影像数据处理过程的原始文件和重建结果。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vMerge w:val="continue"/>
            <w:tcBorders>
              <w:left w:val="single" w:color="auto" w:sz="4" w:space="0"/>
              <w:bottom w:val="single" w:color="auto" w:sz="4" w:space="0"/>
              <w:right w:val="single" w:color="auto" w:sz="4" w:space="0"/>
            </w:tcBorders>
            <w:noWrap/>
            <w:vAlign w:val="center"/>
          </w:tcPr>
          <w:p>
            <w:pPr>
              <w:spacing w:line="360" w:lineRule="auto"/>
              <w:rPr>
                <w:rFonts w:ascii="宋体" w:hAnsi="宋体" w:eastAsia="宋体" w:cs="宋体"/>
                <w:color w:val="auto"/>
                <w:sz w:val="21"/>
                <w:szCs w:val="21"/>
              </w:rPr>
            </w:pPr>
          </w:p>
        </w:tc>
        <w:tc>
          <w:tcPr>
            <w:tcW w:w="257" w:type="pct"/>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宋体" w:hAnsi="宋体" w:eastAsia="宋体" w:cs="宋体"/>
                <w:color w:val="auto"/>
                <w:kern w:val="0"/>
                <w:sz w:val="21"/>
                <w:szCs w:val="21"/>
              </w:rPr>
            </w:pPr>
          </w:p>
        </w:tc>
        <w:tc>
          <w:tcPr>
            <w:tcW w:w="49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三维显示</w:t>
            </w:r>
          </w:p>
        </w:tc>
        <w:tc>
          <w:tcPr>
            <w:tcW w:w="3400"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•支持DICOM3.0标准医学影像阅片，可进行多窗口自选阅览。</w:t>
            </w:r>
          </w:p>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•支持高分辨率灰阶及彩色专业显示器图像显示处理，在多显示屏环境下可自动调整适合屏幕大小及分辨率的界面。</w:t>
            </w:r>
          </w:p>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•可进行影像自由缩放调整，能测量长度、角度、各种封闭区域面积，并可保存测量信息。</w:t>
            </w:r>
          </w:p>
          <w:p>
            <w:pPr>
              <w:spacing w:line="276"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•支持医学模型STL三维文件导入，透明度、颜色、名称调整，并可进行保存导出。</w:t>
            </w:r>
          </w:p>
          <w:p>
            <w:pPr>
              <w:spacing w:line="276" w:lineRule="auto"/>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rPr>
              <w:t>★支持PC平台、Android平台、IOS平台</w:t>
            </w:r>
            <w:r>
              <w:rPr>
                <w:rFonts w:hint="eastAsia" w:ascii="宋体" w:hAnsi="宋体" w:eastAsia="宋体" w:cs="Times New Roman"/>
                <w:color w:val="auto"/>
                <w:sz w:val="21"/>
                <w:szCs w:val="21"/>
                <w:lang w:eastAsia="zh-CN"/>
              </w:rPr>
              <w:t>，有专用</w:t>
            </w:r>
            <w:r>
              <w:rPr>
                <w:rFonts w:hint="eastAsia" w:ascii="宋体" w:hAnsi="宋体" w:eastAsia="宋体" w:cs="Times New Roman"/>
                <w:color w:val="auto"/>
                <w:sz w:val="21"/>
                <w:szCs w:val="21"/>
                <w:lang w:val="en-US" w:eastAsia="zh-CN"/>
              </w:rPr>
              <w:t>APP查看和操作。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tcBorders>
              <w:left w:val="single" w:color="auto" w:sz="4" w:space="0"/>
              <w:bottom w:val="single" w:color="auto" w:sz="4" w:space="0"/>
              <w:right w:val="single" w:color="auto" w:sz="4" w:space="0"/>
            </w:tcBorders>
            <w:noWrap/>
            <w:vAlign w:val="center"/>
          </w:tcPr>
          <w:p>
            <w:pPr>
              <w:tabs>
                <w:tab w:val="left" w:pos="312"/>
              </w:tabs>
              <w:spacing w:line="276" w:lineRule="auto"/>
              <w:jc w:val="center"/>
              <w:rPr>
                <w:rFonts w:ascii="宋体" w:hAnsi="宋体" w:eastAsia="宋体" w:cs="宋体"/>
                <w:color w:val="auto"/>
                <w:sz w:val="21"/>
                <w:szCs w:val="21"/>
              </w:rPr>
            </w:pPr>
            <w:r>
              <w:rPr>
                <w:rFonts w:hint="eastAsia" w:ascii="宋体" w:hAnsi="宋体" w:eastAsia="宋体" w:cs="宋体"/>
                <w:color w:val="auto"/>
                <w:sz w:val="21"/>
                <w:szCs w:val="21"/>
              </w:rPr>
              <w:t>病例</w:t>
            </w:r>
            <w:r>
              <w:rPr>
                <w:rFonts w:hint="eastAsia" w:ascii="宋体" w:hAnsi="宋体" w:eastAsia="宋体" w:cs="宋体"/>
                <w:color w:val="auto"/>
                <w:kern w:val="0"/>
                <w:sz w:val="21"/>
                <w:szCs w:val="21"/>
              </w:rPr>
              <w:t>数据安全</w:t>
            </w:r>
          </w:p>
        </w:tc>
        <w:tc>
          <w:tcPr>
            <w:tcW w:w="4157" w:type="pct"/>
            <w:gridSpan w:val="3"/>
            <w:tcBorders>
              <w:left w:val="single" w:color="auto" w:sz="4" w:space="0"/>
              <w:right w:val="single" w:color="auto" w:sz="4" w:space="0"/>
            </w:tcBorders>
            <w:noWrap w:val="0"/>
            <w:vAlign w:val="center"/>
          </w:tcPr>
          <w:p>
            <w:pPr>
              <w:tabs>
                <w:tab w:val="left" w:pos="312"/>
              </w:tabs>
              <w:spacing w:line="276" w:lineRule="auto"/>
              <w:jc w:val="both"/>
              <w:rPr>
                <w:rFonts w:ascii="宋体" w:hAnsi="宋体" w:eastAsia="宋体" w:cs="宋体"/>
                <w:color w:val="auto"/>
                <w:sz w:val="21"/>
                <w:szCs w:val="21"/>
              </w:rPr>
            </w:pPr>
            <w:r>
              <w:rPr>
                <w:rFonts w:hint="eastAsia" w:ascii="宋体" w:hAnsi="宋体" w:eastAsia="宋体" w:cs="宋体"/>
                <w:color w:val="auto"/>
                <w:sz w:val="21"/>
                <w:szCs w:val="21"/>
              </w:rPr>
              <w:t>•患者信息脱敏处理</w:t>
            </w:r>
          </w:p>
          <w:p>
            <w:pPr>
              <w:tabs>
                <w:tab w:val="left" w:pos="312"/>
              </w:tabs>
              <w:spacing w:line="276" w:lineRule="auto"/>
              <w:jc w:val="both"/>
              <w:rPr>
                <w:rFonts w:ascii="宋体" w:hAnsi="宋体" w:eastAsia="宋体" w:cs="宋体"/>
                <w:color w:val="auto"/>
                <w:sz w:val="21"/>
                <w:szCs w:val="21"/>
              </w:rPr>
            </w:pPr>
            <w:r>
              <w:rPr>
                <w:rFonts w:hint="eastAsia" w:ascii="宋体" w:hAnsi="宋体"/>
                <w:color w:val="auto"/>
                <w:sz w:val="21"/>
                <w:szCs w:val="21"/>
              </w:rPr>
              <w:t>★</w:t>
            </w:r>
            <w:r>
              <w:rPr>
                <w:rFonts w:hint="eastAsia" w:ascii="宋体" w:hAnsi="宋体" w:eastAsia="宋体" w:cs="宋体"/>
                <w:color w:val="auto"/>
                <w:sz w:val="21"/>
                <w:szCs w:val="21"/>
              </w:rPr>
              <w:t>影像信息流动环节可溯源，可监控。</w:t>
            </w:r>
          </w:p>
          <w:p>
            <w:pPr>
              <w:widowControl/>
              <w:adjustRightInd w:val="0"/>
              <w:snapToGrid w:val="0"/>
              <w:spacing w:line="360" w:lineRule="auto"/>
              <w:jc w:val="both"/>
              <w:rPr>
                <w:rFonts w:ascii="宋体" w:hAnsi="宋体" w:eastAsia="宋体" w:cs="宋体"/>
                <w:color w:val="auto"/>
                <w:kern w:val="0"/>
                <w:sz w:val="21"/>
                <w:szCs w:val="21"/>
                <w:lang w:val="en-US" w:eastAsia="zh-CN" w:bidi="ar-SA"/>
              </w:rPr>
            </w:pPr>
            <w:r>
              <w:rPr>
                <w:rFonts w:hint="eastAsia" w:ascii="宋体" w:hAnsi="宋体" w:eastAsia="宋体" w:cs="宋体"/>
                <w:color w:val="auto"/>
                <w:sz w:val="21"/>
                <w:szCs w:val="21"/>
              </w:rPr>
              <w:t>•定期出具影像信息调取、处理、销毁报告。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pStyle w:val="223"/>
              <w:widowControl/>
              <w:numPr>
                <w:ilvl w:val="0"/>
                <w:numId w:val="18"/>
              </w:numPr>
              <w:adjustRightInd w:val="0"/>
              <w:snapToGrid w:val="0"/>
              <w:ind w:left="0" w:firstLine="0" w:firstLineChars="0"/>
              <w:jc w:val="center"/>
              <w:rPr>
                <w:rFonts w:hint="default" w:ascii="宋体" w:hAnsi="宋体" w:eastAsia="宋体" w:cs="宋体"/>
                <w:color w:val="auto"/>
                <w:kern w:val="0"/>
                <w:sz w:val="21"/>
                <w:szCs w:val="21"/>
              </w:rPr>
            </w:pPr>
          </w:p>
        </w:tc>
        <w:tc>
          <w:tcPr>
            <w:tcW w:w="451" w:type="pct"/>
            <w:tcBorders>
              <w:top w:val="single" w:color="auto" w:sz="4" w:space="0"/>
              <w:left w:val="single" w:color="auto" w:sz="4" w:space="0"/>
              <w:right w:val="single" w:color="auto" w:sz="4" w:space="0"/>
            </w:tcBorders>
            <w:noWrap/>
            <w:vAlign w:val="center"/>
          </w:tcPr>
          <w:p>
            <w:pPr>
              <w:tabs>
                <w:tab w:val="left" w:pos="312"/>
              </w:tabs>
              <w:spacing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服务细则</w:t>
            </w:r>
          </w:p>
        </w:tc>
        <w:tc>
          <w:tcPr>
            <w:tcW w:w="4157" w:type="pct"/>
            <w:gridSpan w:val="3"/>
            <w:tcBorders>
              <w:top w:val="single" w:color="auto" w:sz="4" w:space="0"/>
              <w:left w:val="single" w:color="auto" w:sz="4" w:space="0"/>
              <w:bottom w:val="single" w:color="auto" w:sz="4" w:space="0"/>
              <w:right w:val="single" w:color="auto" w:sz="4" w:space="0"/>
            </w:tcBorders>
            <w:noWrap w:val="0"/>
            <w:vAlign w:val="center"/>
          </w:tcPr>
          <w:p>
            <w:pPr>
              <w:tabs>
                <w:tab w:val="left" w:pos="312"/>
              </w:tabs>
              <w:spacing w:line="276" w:lineRule="auto"/>
              <w:rPr>
                <w:rFonts w:ascii="宋体" w:hAnsi="宋体" w:eastAsia="宋体" w:cs="宋体"/>
                <w:color w:val="auto"/>
                <w:sz w:val="21"/>
                <w:szCs w:val="21"/>
              </w:rPr>
            </w:pPr>
            <w:r>
              <w:rPr>
                <w:rFonts w:hint="eastAsia" w:ascii="宋体" w:hAnsi="宋体" w:eastAsia="宋体" w:cs="Times New Roman"/>
                <w:color w:val="auto"/>
                <w:sz w:val="21"/>
                <w:szCs w:val="21"/>
              </w:rPr>
              <w:t>收到医院三维可视化服务请求信息，30分钟内响应。导入合格影像数据后，4-5小时</w:t>
            </w:r>
            <w:r>
              <w:rPr>
                <w:rFonts w:hint="eastAsia" w:ascii="宋体" w:hAnsi="宋体" w:eastAsia="宋体" w:cs="Times New Roman"/>
                <w:color w:val="auto"/>
                <w:sz w:val="21"/>
                <w:szCs w:val="21"/>
                <w:lang w:eastAsia="zh-CN"/>
              </w:rPr>
              <w:t>内在用户端查看</w:t>
            </w:r>
            <w:r>
              <w:rPr>
                <w:rFonts w:hint="eastAsia" w:ascii="宋体" w:hAnsi="宋体" w:eastAsia="宋体" w:cs="Times New Roman"/>
                <w:color w:val="auto"/>
                <w:sz w:val="21"/>
                <w:szCs w:val="21"/>
              </w:rPr>
              <w:t>三维重建结果</w:t>
            </w:r>
            <w:r>
              <w:rPr>
                <w:rFonts w:hint="eastAsia" w:ascii="宋体" w:hAnsi="宋体" w:eastAsia="宋体" w:cs="Times New Roman"/>
                <w:color w:val="auto"/>
                <w:sz w:val="21"/>
                <w:szCs w:val="21"/>
                <w:lang w:eastAsia="zh-CN"/>
              </w:rPr>
              <w:t>。提供</w:t>
            </w:r>
            <w:r>
              <w:rPr>
                <w:rFonts w:hint="eastAsia" w:ascii="宋体" w:hAnsi="宋体" w:eastAsia="宋体" w:cs="Times New Roman"/>
                <w:color w:val="auto"/>
                <w:sz w:val="21"/>
                <w:szCs w:val="21"/>
              </w:rPr>
              <w:t>全天24小时不间断</w:t>
            </w:r>
            <w:r>
              <w:rPr>
                <w:rFonts w:hint="eastAsia" w:ascii="宋体" w:hAnsi="宋体" w:eastAsia="宋体" w:cs="Times New Roman"/>
                <w:color w:val="auto"/>
                <w:sz w:val="21"/>
                <w:szCs w:val="21"/>
                <w:lang w:eastAsia="zh-CN"/>
              </w:rPr>
              <w:t>服务</w:t>
            </w:r>
            <w:r>
              <w:rPr>
                <w:rFonts w:hint="eastAsia" w:ascii="宋体" w:hAnsi="宋体" w:eastAsia="宋体" w:cs="Times New Roman"/>
                <w:color w:val="auto"/>
                <w:sz w:val="21"/>
                <w:szCs w:val="21"/>
              </w:rPr>
              <w:t>。</w:t>
            </w:r>
          </w:p>
        </w:tc>
      </w:tr>
    </w:tbl>
    <w:p>
      <w:pPr>
        <w:rPr>
          <w:rFonts w:hint="eastAsia"/>
          <w:color w:val="auto"/>
        </w:rPr>
      </w:pPr>
    </w:p>
    <w:p>
      <w:pPr>
        <w:pStyle w:val="28"/>
        <w:rPr>
          <w:rFonts w:hint="eastAsia"/>
          <w:color w:val="auto"/>
        </w:rPr>
      </w:pPr>
    </w:p>
    <w:p>
      <w:pPr>
        <w:rPr>
          <w:rFonts w:hint="eastAsia"/>
          <w:color w:val="auto"/>
        </w:rPr>
      </w:pPr>
    </w:p>
    <w:p>
      <w:pPr>
        <w:rPr>
          <w:rFonts w:hint="eastAsia"/>
          <w:color w:val="auto"/>
        </w:rPr>
      </w:pPr>
      <w:r>
        <w:rPr>
          <w:color w:val="auto"/>
        </w:rPr>
        <w:br w:type="page"/>
      </w:r>
    </w:p>
    <w:p>
      <w:pPr>
        <w:pStyle w:val="3"/>
        <w:spacing w:line="276" w:lineRule="auto"/>
        <w:jc w:val="center"/>
        <w:rPr>
          <w:rFonts w:hint="eastAsia"/>
          <w:b/>
          <w:color w:val="auto"/>
          <w:sz w:val="32"/>
          <w:szCs w:val="22"/>
        </w:rPr>
      </w:pPr>
      <w:bookmarkStart w:id="28" w:name="_Toc24535"/>
      <w:r>
        <w:rPr>
          <w:rFonts w:hint="eastAsia"/>
          <w:b/>
          <w:color w:val="auto"/>
          <w:sz w:val="32"/>
          <w:szCs w:val="22"/>
        </w:rPr>
        <w:t>第二部分 商务要求</w:t>
      </w:r>
      <w:bookmarkEnd w:id="28"/>
    </w:p>
    <w:p>
      <w:pPr>
        <w:pStyle w:val="4"/>
        <w:spacing w:before="120" w:after="0" w:line="360" w:lineRule="auto"/>
        <w:jc w:val="left"/>
        <w:rPr>
          <w:rFonts w:hint="eastAsia" w:ascii="宋体" w:hAnsi="宋体" w:eastAsia="宋体"/>
          <w:color w:val="auto"/>
          <w:sz w:val="24"/>
          <w:szCs w:val="24"/>
          <w:lang w:eastAsia="zh-CN"/>
        </w:rPr>
      </w:pPr>
      <w:r>
        <w:rPr>
          <w:rFonts w:hint="eastAsia" w:ascii="宋体" w:hAnsi="宋体"/>
          <w:color w:val="auto"/>
          <w:sz w:val="28"/>
          <w:szCs w:val="28"/>
        </w:rPr>
        <w:t>一、交付</w:t>
      </w:r>
      <w:r>
        <w:rPr>
          <w:rFonts w:hint="eastAsia" w:ascii="宋体" w:hAnsi="宋体"/>
          <w:color w:val="auto"/>
          <w:sz w:val="28"/>
          <w:szCs w:val="28"/>
          <w:lang w:eastAsia="zh-CN"/>
        </w:rPr>
        <w:t>与响应</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（一）交付期：</w:t>
      </w:r>
      <w:r>
        <w:rPr>
          <w:rFonts w:hint="eastAsia" w:ascii="宋体" w:hAnsi="宋体"/>
          <w:color w:val="auto"/>
          <w:sz w:val="24"/>
          <w:szCs w:val="24"/>
          <w:lang w:eastAsia="zh-CN"/>
        </w:rPr>
        <w:t>中标人</w:t>
      </w:r>
      <w:r>
        <w:rPr>
          <w:rFonts w:hint="eastAsia" w:ascii="宋体" w:hAnsi="宋体"/>
          <w:color w:val="auto"/>
          <w:sz w:val="24"/>
          <w:szCs w:val="24"/>
        </w:rPr>
        <w:t>应在签订合同之日起</w:t>
      </w:r>
      <w:r>
        <w:rPr>
          <w:rFonts w:hint="eastAsia" w:ascii="宋体" w:hAnsi="宋体"/>
          <w:color w:val="auto"/>
          <w:sz w:val="24"/>
          <w:szCs w:val="24"/>
          <w:lang w:eastAsia="zh-CN"/>
        </w:rPr>
        <w:t>、</w:t>
      </w:r>
      <w:r>
        <w:rPr>
          <w:rFonts w:ascii="宋体" w:hAnsi="宋体"/>
          <w:color w:val="auto"/>
          <w:sz w:val="24"/>
          <w:szCs w:val="24"/>
        </w:rPr>
        <w:t>7</w:t>
      </w:r>
      <w:r>
        <w:rPr>
          <w:rFonts w:hint="eastAsia" w:ascii="宋体" w:hAnsi="宋体"/>
          <w:color w:val="auto"/>
          <w:sz w:val="24"/>
          <w:szCs w:val="24"/>
        </w:rPr>
        <w:t>个日历日内</w:t>
      </w:r>
      <w:r>
        <w:rPr>
          <w:rFonts w:hint="eastAsia" w:ascii="宋体" w:hAnsi="宋体"/>
          <w:color w:val="auto"/>
          <w:sz w:val="24"/>
          <w:szCs w:val="24"/>
          <w:lang w:eastAsia="zh-CN"/>
        </w:rPr>
        <w:t>完成系统调试、开始服务。</w:t>
      </w:r>
    </w:p>
    <w:p>
      <w:pPr>
        <w:spacing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（二）交付地点：采购人指定地点。</w:t>
      </w:r>
    </w:p>
    <w:p>
      <w:pPr>
        <w:spacing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（三）服务要求</w:t>
      </w:r>
    </w:p>
    <w:p>
      <w:pPr>
        <w:spacing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1、收到</w:t>
      </w:r>
      <w:r>
        <w:rPr>
          <w:rFonts w:hint="eastAsia" w:ascii="宋体" w:hAnsi="宋体" w:eastAsia="宋体" w:cs="Times New Roman"/>
          <w:color w:val="auto"/>
          <w:sz w:val="24"/>
          <w:szCs w:val="24"/>
          <w:lang w:eastAsia="zh-CN"/>
        </w:rPr>
        <w:t>采购人</w:t>
      </w:r>
      <w:r>
        <w:rPr>
          <w:rFonts w:hint="eastAsia" w:ascii="宋体" w:hAnsi="宋体" w:eastAsia="宋体" w:cs="Times New Roman"/>
          <w:color w:val="auto"/>
          <w:sz w:val="24"/>
          <w:szCs w:val="24"/>
        </w:rPr>
        <w:t>三维</w:t>
      </w:r>
      <w:r>
        <w:rPr>
          <w:rFonts w:hint="eastAsia" w:ascii="宋体" w:hAnsi="宋体" w:eastAsia="宋体" w:cs="Times New Roman"/>
          <w:color w:val="auto"/>
          <w:sz w:val="24"/>
          <w:szCs w:val="24"/>
          <w:lang w:eastAsia="zh-CN"/>
        </w:rPr>
        <w:t>重建</w:t>
      </w:r>
      <w:r>
        <w:rPr>
          <w:rFonts w:hint="eastAsia" w:ascii="宋体" w:hAnsi="宋体" w:eastAsia="宋体" w:cs="Times New Roman"/>
          <w:color w:val="auto"/>
          <w:sz w:val="24"/>
          <w:szCs w:val="24"/>
        </w:rPr>
        <w:t>服务请求信息，30分钟内响应。导入合格影像数据后，5小时</w:t>
      </w:r>
      <w:r>
        <w:rPr>
          <w:rFonts w:hint="eastAsia" w:ascii="宋体" w:hAnsi="宋体" w:eastAsia="宋体" w:cs="Times New Roman"/>
          <w:color w:val="auto"/>
          <w:sz w:val="24"/>
          <w:szCs w:val="24"/>
          <w:lang w:eastAsia="zh-CN"/>
        </w:rPr>
        <w:t>内</w:t>
      </w:r>
      <w:r>
        <w:rPr>
          <w:rFonts w:hint="eastAsia" w:ascii="宋体" w:hAnsi="宋体" w:eastAsia="宋体" w:cs="Times New Roman"/>
          <w:color w:val="auto"/>
          <w:sz w:val="24"/>
          <w:szCs w:val="24"/>
        </w:rPr>
        <w:t>输出三维重建结果，</w:t>
      </w:r>
      <w:r>
        <w:rPr>
          <w:rFonts w:hint="eastAsia" w:ascii="宋体" w:hAnsi="宋体" w:eastAsia="宋体" w:cs="Times New Roman"/>
          <w:color w:val="auto"/>
          <w:sz w:val="24"/>
          <w:szCs w:val="24"/>
          <w:lang w:eastAsia="zh-CN"/>
        </w:rPr>
        <w:t>可为采购人</w:t>
      </w:r>
      <w:r>
        <w:rPr>
          <w:rFonts w:hint="eastAsia" w:ascii="宋体" w:hAnsi="宋体" w:eastAsia="宋体" w:cs="Times New Roman"/>
          <w:color w:val="auto"/>
          <w:sz w:val="24"/>
          <w:szCs w:val="24"/>
        </w:rPr>
        <w:t xml:space="preserve">全天24小时不间断重建。 </w:t>
      </w:r>
    </w:p>
    <w:p>
      <w:pPr>
        <w:spacing w:line="360" w:lineRule="auto"/>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2、三维重建系统有新的版本或更高级的功能时，应及时向采购人使用；</w:t>
      </w:r>
    </w:p>
    <w:p>
      <w:pPr>
        <w:spacing w:line="360" w:lineRule="auto"/>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3、采购人系统升级或更新后，中标人应及时调整、满足使用需求；</w:t>
      </w:r>
    </w:p>
    <w:p>
      <w:pPr>
        <w:pStyle w:val="4"/>
        <w:spacing w:before="120" w:after="0" w:line="360" w:lineRule="auto"/>
        <w:jc w:val="left"/>
        <w:rPr>
          <w:rFonts w:hint="eastAsia" w:ascii="宋体" w:hAnsi="宋体" w:eastAsia="宋体" w:cs="Times New Roman"/>
          <w:b/>
          <w:color w:val="auto"/>
          <w:sz w:val="28"/>
          <w:szCs w:val="28"/>
        </w:rPr>
      </w:pPr>
      <w:r>
        <w:rPr>
          <w:rFonts w:hint="eastAsia" w:ascii="宋体" w:hAnsi="宋体" w:eastAsia="宋体" w:cs="Times New Roman"/>
          <w:b/>
          <w:color w:val="auto"/>
          <w:sz w:val="28"/>
          <w:szCs w:val="28"/>
          <w:lang w:eastAsia="zh-CN"/>
        </w:rPr>
        <w:t>二、</w:t>
      </w:r>
      <w:r>
        <w:rPr>
          <w:rFonts w:hint="eastAsia" w:ascii="宋体" w:hAnsi="宋体" w:eastAsia="宋体" w:cs="Times New Roman"/>
          <w:b/>
          <w:color w:val="auto"/>
          <w:sz w:val="28"/>
          <w:szCs w:val="28"/>
        </w:rPr>
        <w:t>验收要求</w:t>
      </w:r>
    </w:p>
    <w:p>
      <w:pPr>
        <w:numPr>
          <w:ilvl w:val="0"/>
          <w:numId w:val="0"/>
        </w:numPr>
        <w:ind w:leftChars="0"/>
        <w:rPr>
          <w:rFonts w:hint="default" w:eastAsia="宋体"/>
          <w:color w:val="auto"/>
          <w:lang w:val="en-US" w:eastAsia="zh-CN"/>
        </w:rPr>
      </w:pPr>
      <w:r>
        <w:rPr>
          <w:rFonts w:hint="eastAsia"/>
          <w:color w:val="auto"/>
          <w:lang w:val="en-US" w:eastAsia="zh-CN"/>
        </w:rPr>
        <w:t xml:space="preserve"> </w:t>
      </w:r>
      <w:r>
        <w:rPr>
          <w:rFonts w:hint="eastAsia" w:ascii="宋体" w:hAnsi="宋体" w:eastAsia="宋体" w:cs="Times New Roman"/>
          <w:color w:val="auto"/>
          <w:sz w:val="24"/>
          <w:szCs w:val="24"/>
          <w:lang w:val="en-US" w:eastAsia="zh-CN"/>
        </w:rPr>
        <w:t xml:space="preserve">   由采购人组织验收。</w:t>
      </w:r>
    </w:p>
    <w:p>
      <w:pPr>
        <w:pStyle w:val="4"/>
        <w:spacing w:before="120" w:after="0" w:line="360" w:lineRule="auto"/>
        <w:jc w:val="left"/>
        <w:rPr>
          <w:rFonts w:hint="eastAsia" w:ascii="宋体" w:hAnsi="宋体"/>
          <w:color w:val="auto"/>
          <w:sz w:val="28"/>
          <w:szCs w:val="28"/>
        </w:rPr>
      </w:pPr>
      <w:r>
        <w:rPr>
          <w:rFonts w:hint="eastAsia" w:ascii="宋体" w:hAnsi="宋体"/>
          <w:color w:val="auto"/>
          <w:sz w:val="28"/>
          <w:szCs w:val="28"/>
        </w:rPr>
        <w:t>三、报价要求</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以人民币报价，</w:t>
      </w:r>
      <w:r>
        <w:rPr>
          <w:rFonts w:hint="eastAsia" w:ascii="宋体" w:hAnsi="宋体"/>
          <w:color w:val="auto"/>
          <w:sz w:val="24"/>
          <w:szCs w:val="24"/>
          <w:lang w:eastAsia="zh-CN"/>
        </w:rPr>
        <w:t>分别报三维重建服务的单次价和总价，</w:t>
      </w:r>
      <w:r>
        <w:rPr>
          <w:rFonts w:hint="eastAsia" w:ascii="宋体" w:hAnsi="宋体"/>
          <w:color w:val="auto"/>
          <w:sz w:val="24"/>
          <w:szCs w:val="24"/>
        </w:rPr>
        <w:t>报价包含但不限于</w:t>
      </w:r>
      <w:r>
        <w:rPr>
          <w:rFonts w:hint="eastAsia" w:ascii="宋体" w:hAnsi="宋体"/>
          <w:color w:val="auto"/>
          <w:sz w:val="24"/>
          <w:szCs w:val="24"/>
          <w:lang w:eastAsia="zh-CN"/>
        </w:rPr>
        <w:t>为实现每次服务的</w:t>
      </w:r>
      <w:r>
        <w:rPr>
          <w:rFonts w:hint="eastAsia" w:ascii="宋体" w:hAnsi="宋体"/>
          <w:color w:val="auto"/>
          <w:sz w:val="24"/>
          <w:szCs w:val="24"/>
        </w:rPr>
        <w:t>软硬件费、实施费、</w:t>
      </w:r>
      <w:r>
        <w:rPr>
          <w:rFonts w:hint="eastAsia" w:ascii="宋体" w:hAnsi="宋体"/>
          <w:color w:val="auto"/>
          <w:sz w:val="24"/>
          <w:szCs w:val="24"/>
          <w:lang w:eastAsia="zh-CN"/>
        </w:rPr>
        <w:t>三维重建服务费、</w:t>
      </w:r>
      <w:r>
        <w:rPr>
          <w:rFonts w:hint="eastAsia" w:ascii="宋体" w:hAnsi="宋体"/>
          <w:color w:val="auto"/>
          <w:sz w:val="24"/>
          <w:szCs w:val="24"/>
        </w:rPr>
        <w:t>培训费、与采购人在用系统间的软件接口费、税费等所有费用。</w:t>
      </w:r>
    </w:p>
    <w:p>
      <w:pPr>
        <w:pStyle w:val="4"/>
        <w:spacing w:before="120" w:after="0" w:line="360" w:lineRule="auto"/>
        <w:jc w:val="left"/>
        <w:rPr>
          <w:rFonts w:hint="eastAsia" w:ascii="宋体" w:hAnsi="宋体"/>
          <w:color w:val="auto"/>
          <w:sz w:val="28"/>
          <w:szCs w:val="28"/>
        </w:rPr>
      </w:pPr>
      <w:bookmarkStart w:id="29" w:name="_Toc441065665"/>
      <w:r>
        <w:rPr>
          <w:rFonts w:hint="eastAsia" w:ascii="宋体" w:hAnsi="宋体"/>
          <w:color w:val="auto"/>
          <w:sz w:val="28"/>
          <w:szCs w:val="28"/>
        </w:rPr>
        <w:t>四、付款方式</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1、</w:t>
      </w:r>
      <w:r>
        <w:rPr>
          <w:rFonts w:ascii="宋体" w:hAnsi="宋体"/>
          <w:color w:val="auto"/>
          <w:sz w:val="24"/>
          <w:szCs w:val="24"/>
        </w:rPr>
        <w:t>签订合同前，中标人向采购人合同中约定账户转账支付</w:t>
      </w:r>
      <w:r>
        <w:rPr>
          <w:rFonts w:ascii="宋体" w:hAnsi="宋体"/>
          <w:b/>
          <w:color w:val="auto"/>
          <w:sz w:val="24"/>
          <w:szCs w:val="24"/>
        </w:rPr>
        <w:t>中标金额的</w:t>
      </w:r>
      <w:r>
        <w:rPr>
          <w:rFonts w:hint="eastAsia" w:ascii="宋体" w:hAnsi="宋体"/>
          <w:b/>
          <w:color w:val="auto"/>
          <w:sz w:val="24"/>
          <w:szCs w:val="24"/>
          <w:lang w:val="en-US" w:eastAsia="zh-CN"/>
        </w:rPr>
        <w:t>5</w:t>
      </w:r>
      <w:r>
        <w:rPr>
          <w:rFonts w:ascii="宋体" w:hAnsi="宋体"/>
          <w:b/>
          <w:color w:val="auto"/>
          <w:sz w:val="24"/>
          <w:szCs w:val="24"/>
        </w:rPr>
        <w:t>%作为履约保证金</w:t>
      </w:r>
      <w:r>
        <w:rPr>
          <w:rFonts w:hint="eastAsia" w:ascii="宋体" w:hAnsi="宋体"/>
          <w:color w:val="auto"/>
          <w:sz w:val="24"/>
          <w:szCs w:val="24"/>
        </w:rPr>
        <w:t>，履约完毕且无待处理问题后15个工作日内甲方一次性无息退还。</w:t>
      </w:r>
    </w:p>
    <w:p>
      <w:pPr>
        <w:spacing w:line="360" w:lineRule="auto"/>
        <w:ind w:firstLine="480" w:firstLineChars="200"/>
        <w:rPr>
          <w:rFonts w:hint="eastAsia" w:eastAsia="宋体"/>
          <w:color w:val="auto"/>
          <w:lang w:eastAsia="zh-CN"/>
        </w:rPr>
      </w:pPr>
      <w:r>
        <w:rPr>
          <w:rFonts w:hint="eastAsia" w:ascii="宋体" w:hAnsi="宋体"/>
          <w:color w:val="auto"/>
          <w:sz w:val="24"/>
          <w:szCs w:val="24"/>
        </w:rPr>
        <w:t>2、</w:t>
      </w:r>
      <w:r>
        <w:rPr>
          <w:rFonts w:hint="eastAsia" w:ascii="宋体" w:hAnsi="宋体"/>
          <w:color w:val="auto"/>
          <w:sz w:val="24"/>
          <w:szCs w:val="24"/>
          <w:lang w:eastAsia="zh-CN"/>
        </w:rPr>
        <w:t>每</w:t>
      </w:r>
      <w:r>
        <w:rPr>
          <w:rFonts w:hint="eastAsia" w:ascii="宋体" w:hAnsi="宋体"/>
          <w:color w:val="auto"/>
          <w:sz w:val="24"/>
          <w:szCs w:val="24"/>
          <w:lang w:val="en-US" w:eastAsia="zh-CN"/>
        </w:rPr>
        <w:t>3个月一次</w:t>
      </w:r>
      <w:r>
        <w:rPr>
          <w:rFonts w:hint="eastAsia" w:ascii="宋体" w:hAnsi="宋体"/>
          <w:color w:val="auto"/>
          <w:sz w:val="24"/>
          <w:szCs w:val="24"/>
          <w:lang w:eastAsia="zh-CN"/>
        </w:rPr>
        <w:t>按验收合格次数和中标单价汇总结算、付款；采购人</w:t>
      </w:r>
      <w:r>
        <w:rPr>
          <w:rFonts w:hint="eastAsia" w:ascii="宋体" w:hAnsi="宋体"/>
          <w:color w:val="auto"/>
          <w:sz w:val="24"/>
          <w:szCs w:val="24"/>
        </w:rPr>
        <w:t>凭发票、合同、验收</w:t>
      </w:r>
      <w:r>
        <w:rPr>
          <w:rFonts w:hint="eastAsia" w:ascii="宋体" w:hAnsi="宋体"/>
          <w:color w:val="auto"/>
          <w:sz w:val="24"/>
          <w:szCs w:val="24"/>
          <w:lang w:eastAsia="zh-CN"/>
        </w:rPr>
        <w:t>合格文件</w:t>
      </w:r>
      <w:r>
        <w:rPr>
          <w:rFonts w:hint="eastAsia" w:ascii="宋体" w:hAnsi="宋体"/>
          <w:color w:val="auto"/>
          <w:sz w:val="24"/>
          <w:szCs w:val="24"/>
        </w:rPr>
        <w:t>以转账方式向乙方支付</w:t>
      </w:r>
      <w:r>
        <w:rPr>
          <w:rFonts w:hint="eastAsia" w:ascii="宋体" w:hAnsi="宋体"/>
          <w:color w:val="auto"/>
          <w:sz w:val="24"/>
          <w:szCs w:val="24"/>
          <w:lang w:eastAsia="zh-CN"/>
        </w:rPr>
        <w:t>每期款项</w:t>
      </w:r>
      <w:r>
        <w:rPr>
          <w:rFonts w:hint="eastAsia" w:ascii="宋体" w:hAnsi="宋体"/>
          <w:color w:val="auto"/>
          <w:sz w:val="24"/>
          <w:szCs w:val="24"/>
        </w:rPr>
        <w:t>。</w:t>
      </w:r>
    </w:p>
    <w:p>
      <w:pPr>
        <w:pStyle w:val="4"/>
        <w:spacing w:before="120" w:after="0" w:line="360" w:lineRule="auto"/>
        <w:jc w:val="left"/>
        <w:rPr>
          <w:rFonts w:hint="eastAsia" w:ascii="宋体" w:hAnsi="宋体"/>
          <w:color w:val="auto"/>
          <w:sz w:val="28"/>
          <w:szCs w:val="28"/>
        </w:rPr>
      </w:pPr>
      <w:r>
        <w:rPr>
          <w:rFonts w:hint="eastAsia" w:ascii="宋体" w:hAnsi="宋体"/>
          <w:color w:val="auto"/>
          <w:sz w:val="28"/>
          <w:szCs w:val="28"/>
        </w:rPr>
        <w:t>五、知识产权</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采购人在中华人民共和国境内使用成交供应商提供服务时免受第三方提出的侵犯其专利权或其它知识产权的起诉。如果第三方提出侵权指控，成交供应商应承担由此而引起的一切法律责任和费用。</w:t>
      </w:r>
    </w:p>
    <w:p>
      <w:pPr>
        <w:pStyle w:val="4"/>
        <w:spacing w:before="120" w:after="0" w:line="360" w:lineRule="auto"/>
        <w:jc w:val="left"/>
        <w:rPr>
          <w:rFonts w:hint="eastAsia" w:ascii="宋体" w:hAnsi="宋体"/>
          <w:color w:val="auto"/>
          <w:sz w:val="28"/>
          <w:szCs w:val="28"/>
        </w:rPr>
      </w:pPr>
      <w:r>
        <w:rPr>
          <w:rFonts w:hint="eastAsia" w:ascii="宋体" w:hAnsi="宋体"/>
          <w:color w:val="auto"/>
          <w:sz w:val="28"/>
          <w:szCs w:val="28"/>
        </w:rPr>
        <w:t>六、培训</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lang w:eastAsia="zh-CN"/>
        </w:rPr>
        <w:t>根据</w:t>
      </w:r>
      <w:r>
        <w:rPr>
          <w:rFonts w:hint="eastAsia" w:ascii="宋体" w:hAnsi="宋体"/>
          <w:color w:val="auto"/>
          <w:sz w:val="24"/>
          <w:szCs w:val="24"/>
        </w:rPr>
        <w:t>采购人</w:t>
      </w:r>
      <w:r>
        <w:rPr>
          <w:rFonts w:hint="eastAsia" w:ascii="宋体" w:hAnsi="宋体"/>
          <w:color w:val="auto"/>
          <w:sz w:val="24"/>
          <w:szCs w:val="24"/>
          <w:lang w:eastAsia="zh-CN"/>
        </w:rPr>
        <w:t>情况，及时对新人、新项目、新技术或特殊情况进行分阶段培训，充分满足使用需要</w:t>
      </w:r>
      <w:r>
        <w:rPr>
          <w:rFonts w:hint="eastAsia" w:ascii="宋体" w:hAnsi="宋体"/>
          <w:color w:val="auto"/>
          <w:sz w:val="24"/>
          <w:szCs w:val="24"/>
        </w:rPr>
        <w:t>。</w:t>
      </w:r>
      <w:r>
        <w:rPr>
          <w:rFonts w:hint="eastAsia" w:ascii="宋体" w:hAnsi="宋体"/>
          <w:color w:val="auto"/>
          <w:sz w:val="24"/>
          <w:szCs w:val="24"/>
          <w:lang w:eastAsia="zh-CN"/>
        </w:rPr>
        <w:t>提供多种服务方式提高培训质量。</w:t>
      </w:r>
    </w:p>
    <w:p>
      <w:pPr>
        <w:pStyle w:val="4"/>
        <w:spacing w:before="120" w:after="0" w:line="360" w:lineRule="auto"/>
        <w:jc w:val="left"/>
        <w:rPr>
          <w:rFonts w:hint="eastAsia" w:ascii="宋体" w:hAnsi="宋体"/>
          <w:color w:val="auto"/>
          <w:sz w:val="28"/>
          <w:szCs w:val="28"/>
        </w:rPr>
      </w:pPr>
      <w:r>
        <w:rPr>
          <w:rFonts w:hint="eastAsia" w:ascii="宋体" w:hAnsi="宋体"/>
          <w:color w:val="auto"/>
          <w:sz w:val="28"/>
          <w:szCs w:val="28"/>
        </w:rPr>
        <w:t>七、其他</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1.供应商必须在响应文件中对以上条款和服务承诺明确列出，承诺内容必须达到本篇及磋商文件其他条款的要求。</w:t>
      </w:r>
    </w:p>
    <w:p>
      <w:pPr>
        <w:spacing w:line="360" w:lineRule="auto"/>
        <w:ind w:firstLine="480" w:firstLineChars="200"/>
        <w:rPr>
          <w:rFonts w:hint="eastAsia" w:ascii="宋体" w:hAnsi="宋体"/>
          <w:color w:val="auto"/>
          <w:szCs w:val="28"/>
        </w:rPr>
      </w:pPr>
      <w:r>
        <w:rPr>
          <w:rFonts w:hint="eastAsia" w:ascii="宋体" w:hAnsi="宋体"/>
          <w:color w:val="auto"/>
          <w:sz w:val="24"/>
          <w:szCs w:val="24"/>
        </w:rPr>
        <w:t>2.其他未尽事宜由供需双方在采购合同中详细约定。</w:t>
      </w:r>
    </w:p>
    <w:p>
      <w:pPr>
        <w:ind w:firstLine="480" w:firstLineChars="200"/>
        <w:rPr>
          <w:rFonts w:ascii="宋体" w:hAnsi="宋体"/>
          <w:color w:val="auto"/>
          <w:sz w:val="24"/>
          <w:szCs w:val="28"/>
        </w:rPr>
      </w:pPr>
      <w:r>
        <w:rPr>
          <w:rFonts w:hint="eastAsia" w:ascii="宋体" w:hAnsi="宋体"/>
          <w:color w:val="auto"/>
          <w:sz w:val="24"/>
          <w:szCs w:val="28"/>
        </w:rPr>
        <w:t xml:space="preserve"> </w:t>
      </w:r>
      <w:bookmarkEnd w:id="29"/>
    </w:p>
    <w:p>
      <w:pPr>
        <w:rPr>
          <w:rFonts w:hint="eastAsia" w:ascii="宋体" w:hAnsi="宋体" w:cs="宋体"/>
          <w:color w:val="auto"/>
          <w:kern w:val="0"/>
        </w:rPr>
      </w:pPr>
      <w:r>
        <w:rPr>
          <w:rFonts w:ascii="宋体" w:hAnsi="宋体"/>
          <w:color w:val="auto"/>
        </w:rPr>
        <w:br w:type="page"/>
      </w:r>
    </w:p>
    <w:p>
      <w:pPr>
        <w:pStyle w:val="2"/>
        <w:spacing w:before="0" w:beforeLines="0" w:after="0" w:afterLines="0" w:line="276" w:lineRule="auto"/>
        <w:jc w:val="both"/>
        <w:rPr>
          <w:rFonts w:hint="eastAsia" w:ascii="宋体" w:hAnsi="宋体" w:eastAsia="宋体"/>
          <w:color w:val="auto"/>
        </w:rPr>
      </w:pPr>
      <w:bookmarkStart w:id="30" w:name="_Toc15745"/>
      <w:r>
        <w:rPr>
          <w:rFonts w:hint="eastAsia" w:ascii="宋体" w:hAnsi="宋体" w:eastAsia="宋体"/>
          <w:color w:val="auto"/>
        </w:rPr>
        <w:t>第三篇  评审程序、评审方法和评审标准</w:t>
      </w:r>
      <w:bookmarkEnd w:id="30"/>
    </w:p>
    <w:p>
      <w:pPr>
        <w:pStyle w:val="3"/>
        <w:spacing w:line="276" w:lineRule="auto"/>
        <w:rPr>
          <w:rFonts w:hint="eastAsia"/>
          <w:b/>
          <w:color w:val="auto"/>
          <w:sz w:val="24"/>
          <w:szCs w:val="24"/>
        </w:rPr>
      </w:pPr>
      <w:bookmarkStart w:id="31" w:name="_Toc441065674"/>
      <w:bookmarkStart w:id="32" w:name="_Toc8311"/>
      <w:r>
        <w:rPr>
          <w:rFonts w:hint="eastAsia"/>
          <w:b/>
          <w:color w:val="auto"/>
          <w:sz w:val="24"/>
          <w:szCs w:val="24"/>
        </w:rPr>
        <w:t>一、</w:t>
      </w:r>
      <w:bookmarkEnd w:id="31"/>
      <w:r>
        <w:rPr>
          <w:rFonts w:hint="eastAsia"/>
          <w:b/>
          <w:color w:val="auto"/>
          <w:sz w:val="24"/>
          <w:szCs w:val="24"/>
        </w:rPr>
        <w:t>评审程序</w:t>
      </w:r>
      <w:bookmarkEnd w:id="32"/>
    </w:p>
    <w:p>
      <w:pPr>
        <w:spacing w:line="276" w:lineRule="auto"/>
        <w:rPr>
          <w:rFonts w:hint="eastAsia" w:ascii="宋体" w:hAnsi="宋体" w:cs="宋体"/>
          <w:color w:val="auto"/>
          <w:kern w:val="0"/>
          <w:sz w:val="24"/>
          <w:szCs w:val="24"/>
        </w:rPr>
      </w:pPr>
      <w:r>
        <w:rPr>
          <w:rFonts w:hint="eastAsia" w:ascii="宋体" w:hAnsi="宋体"/>
          <w:color w:val="auto"/>
        </w:rPr>
        <w:t xml:space="preserve">    </w:t>
      </w:r>
      <w:r>
        <w:rPr>
          <w:rFonts w:hint="eastAsia" w:ascii="宋体" w:hAnsi="宋体" w:cs="宋体"/>
          <w:color w:val="auto"/>
          <w:kern w:val="0"/>
          <w:sz w:val="24"/>
          <w:szCs w:val="24"/>
        </w:rPr>
        <w:t>评审工作由采购人主持，具体评审工作由采购人依法组建的竞争性磋商小组负责。磋商小组到位后，推举其中一位评审专家担任评审组长，并由评审组长牵头组织该项目评审工作。磋商小组按以下程序独立履行评审职责：</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1、资格性检查。依据法律法规和磋商文件的规定，对响应文件中的供应商营业执照、组织机构代码证、税务登记证（见注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2</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）、诚信声明、特定资格条件证明文件、供应商法定代表人身份证明书和授权代表委托书身份证明等进行审查，以确定供应商是否具备竞争性磋商资格。</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注：</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以联合体参与磋商的，共同参与协议中应确定主办方（主体），</w:t>
      </w:r>
      <w:r>
        <w:rPr>
          <w:rFonts w:hint="eastAsia" w:ascii="宋体" w:hAnsi="宋体"/>
          <w:color w:val="auto"/>
          <w:sz w:val="24"/>
        </w:rPr>
        <w:t>代表联合体进行磋商和澄清。</w:t>
      </w:r>
      <w:r>
        <w:rPr>
          <w:rFonts w:hint="eastAsia" w:ascii="宋体" w:hAnsi="宋体" w:cs="宋体"/>
          <w:color w:val="auto"/>
          <w:kern w:val="0"/>
          <w:sz w:val="24"/>
          <w:szCs w:val="24"/>
        </w:rPr>
        <w:t>联合体各方均应满足供应商资格要求（详见“第一篇”）。</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2</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供应商按“多证合一”登记制度办理营业执照的，组织机构代码证、税务登记证（副本）和社会保险登记证以投标人所提供的营业执照（副本）复印件为准。</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2、采购人将通过“信用中国”网站(www.creditchina.gov.cn)、"中国政府采购网"(www.ccgp.gov.cn)等渠道查询供应商信用记录，对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line="276" w:lineRule="auto"/>
        <w:rPr>
          <w:rFonts w:hint="eastAsia" w:ascii="宋体" w:hAnsi="宋体"/>
          <w:color w:val="auto"/>
          <w:sz w:val="24"/>
          <w:szCs w:val="24"/>
        </w:rPr>
      </w:pPr>
      <w:r>
        <w:rPr>
          <w:rFonts w:hint="eastAsia" w:ascii="宋体" w:hAnsi="宋体" w:cs="宋体"/>
          <w:color w:val="auto"/>
          <w:kern w:val="0"/>
          <w:sz w:val="24"/>
          <w:szCs w:val="24"/>
        </w:rPr>
        <w:t xml:space="preserve">    3、符合性检查。依据磋商文件的规定，从响应文件的有效性、完整性和对磋商文件的响应程度进行审查，以确定是否对磋商文件的实质性要求作出响应。</w:t>
      </w:r>
    </w:p>
    <w:p>
      <w:pPr>
        <w:snapToGrid w:val="0"/>
        <w:spacing w:line="276" w:lineRule="auto"/>
        <w:ind w:firstLine="480" w:firstLineChars="200"/>
        <w:rPr>
          <w:rFonts w:hint="eastAsia" w:ascii="宋体" w:hAnsi="宋体"/>
          <w:color w:val="auto"/>
          <w:sz w:val="24"/>
          <w:szCs w:val="24"/>
        </w:rPr>
      </w:pPr>
      <w:r>
        <w:rPr>
          <w:rFonts w:hint="eastAsia" w:ascii="宋体" w:hAnsi="宋体" w:cs="方正仿宋_GBK"/>
          <w:color w:val="auto"/>
          <w:sz w:val="24"/>
          <w:szCs w:val="24"/>
        </w:rPr>
        <w:t>4、对响应文件的有效性、完整性和响应程度进行审查结束后。竞争性磋商小组所有成员按签到顺序集中与单一供应商分别进行磋商。</w:t>
      </w:r>
    </w:p>
    <w:p>
      <w:pPr>
        <w:snapToGrid w:val="0"/>
        <w:spacing w:line="276" w:lineRule="auto"/>
        <w:rPr>
          <w:rFonts w:hint="eastAsia" w:ascii="宋体" w:hAnsi="宋体"/>
          <w:color w:val="auto"/>
          <w:sz w:val="24"/>
          <w:szCs w:val="24"/>
        </w:rPr>
      </w:pPr>
      <w:r>
        <w:rPr>
          <w:rFonts w:hint="eastAsia" w:ascii="宋体" w:hAnsi="宋体"/>
          <w:color w:val="auto"/>
          <w:sz w:val="24"/>
          <w:szCs w:val="24"/>
        </w:rPr>
        <w:t xml:space="preserve">    5、澄清有关问题。对响应文件中含义不明确、同类问题表述不一致或者有明显文字和计算错误的内容，磋商小组可以书面形式（应当由磋商小组成员签字）要求供应商作出必要澄清、说明或者纠正。供应商的澄清、说明或者补正应当采用书面形式，由其法定代表人授权代表签字，其澄清的内容不得超出响应文件的范围或者改变响应文件的实质性内容。</w:t>
      </w:r>
    </w:p>
    <w:p>
      <w:pPr>
        <w:spacing w:line="276" w:lineRule="auto"/>
        <w:rPr>
          <w:rFonts w:hint="eastAsia" w:ascii="宋体" w:hAnsi="宋体" w:cs="方正仿宋_GBK"/>
          <w:color w:val="auto"/>
          <w:sz w:val="24"/>
          <w:szCs w:val="24"/>
        </w:rPr>
      </w:pPr>
      <w:r>
        <w:rPr>
          <w:rFonts w:hint="eastAsia" w:ascii="宋体" w:hAnsi="宋体" w:cs="方正仿宋_GBK"/>
          <w:color w:val="auto"/>
          <w:sz w:val="24"/>
          <w:szCs w:val="24"/>
        </w:rPr>
        <w:t xml:space="preserve">   6、在磋商过程中，竞争性磋商小组可以根据磋商文件和磋商情况实质性变动采购需求中的技术、服务要求以及合同草案条款，但不得变动磋商文件中的其他内容。实质性变动的内容，须经采购人代表确认。</w:t>
      </w:r>
    </w:p>
    <w:p>
      <w:pPr>
        <w:spacing w:line="276" w:lineRule="auto"/>
        <w:ind w:firstLine="480" w:firstLineChars="200"/>
        <w:rPr>
          <w:rFonts w:hint="eastAsia" w:ascii="宋体" w:hAnsi="宋体" w:cs="方正仿宋_GBK"/>
          <w:b/>
          <w:bCs/>
          <w:color w:val="auto"/>
          <w:sz w:val="24"/>
          <w:szCs w:val="24"/>
        </w:rPr>
      </w:pPr>
      <w:r>
        <w:rPr>
          <w:rFonts w:hint="eastAsia" w:ascii="宋体" w:hAnsi="宋体" w:cs="方正仿宋_GBK"/>
          <w:color w:val="auto"/>
          <w:sz w:val="24"/>
          <w:szCs w:val="24"/>
        </w:rPr>
        <w:t>实质性变动的内容作为磋商文件的有效组成部分，磋商小组应当及时以书面形式同时通知所有参加谈判磋商的供应商。</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7、供应商应当按照磋商文件的变动情况和磋商小组的要求作出相应的承诺，并由其法定代表人或授权代表签字或者加盖公章。若供应商需重新制定设计方案或解决方案，重新提交响应文件的，磋商小组应确定重新提交响应文件的时间和提交方式，并以书面的形式通知。</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8、最后报价</w:t>
      </w:r>
    </w:p>
    <w:p>
      <w:pPr>
        <w:spacing w:line="276" w:lineRule="auto"/>
        <w:ind w:firstLine="482" w:firstLineChars="200"/>
        <w:rPr>
          <w:rFonts w:hint="eastAsia" w:ascii="宋体" w:hAnsi="宋体" w:cs="方正仿宋_GBK"/>
          <w:b/>
          <w:bCs/>
          <w:color w:val="auto"/>
          <w:sz w:val="24"/>
          <w:szCs w:val="24"/>
          <w:u w:val="single"/>
        </w:rPr>
      </w:pPr>
      <w:r>
        <w:rPr>
          <w:rFonts w:hint="eastAsia" w:ascii="宋体" w:hAnsi="宋体" w:cs="方正仿宋_GBK"/>
          <w:b/>
          <w:bCs/>
          <w:color w:val="auto"/>
          <w:sz w:val="24"/>
          <w:szCs w:val="24"/>
          <w:u w:val="single"/>
        </w:rPr>
        <w:t>能够详细列明采购标的的技术、服务要求的：</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磋商结束后，磋商小组应当要求所有实质性响应的供应商在规定时间内提交最后报价，最后报价是供应商响应文件的有效组成部分。填写最后报价由其法定代表人或授权代表签字或者加盖公章。最后报价是供应商响应文件有效组成部分。</w:t>
      </w:r>
    </w:p>
    <w:p>
      <w:pPr>
        <w:spacing w:line="276" w:lineRule="auto"/>
        <w:ind w:firstLine="482" w:firstLineChars="200"/>
        <w:rPr>
          <w:rFonts w:hint="eastAsia" w:ascii="宋体" w:hAnsi="宋体" w:cs="方正仿宋_GBK"/>
          <w:b/>
          <w:bCs/>
          <w:color w:val="auto"/>
          <w:sz w:val="24"/>
          <w:szCs w:val="24"/>
          <w:u w:val="single"/>
        </w:rPr>
      </w:pPr>
      <w:r>
        <w:rPr>
          <w:rFonts w:hint="eastAsia" w:ascii="宋体" w:hAnsi="宋体" w:cs="方正仿宋_GBK"/>
          <w:b/>
          <w:bCs/>
          <w:color w:val="auto"/>
          <w:sz w:val="24"/>
          <w:szCs w:val="24"/>
          <w:u w:val="single"/>
        </w:rPr>
        <w:t>不能够详细列明采购标的的技术、服务要求的，需经磋商由供应商提供最终设计方案或解决方案的：</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磋商小组应当按照少数服从多数的原则投票推荐3家以上供应商的设计方案和解决方案，并要求其在规定时间内提交最后报价。填写最后报价由其法定代表人或授权代表签字或者加盖公章。最后报价是供应商响应文件有效组成部分。</w:t>
      </w:r>
    </w:p>
    <w:p>
      <w:pPr>
        <w:spacing w:line="276" w:lineRule="auto"/>
        <w:ind w:firstLine="480" w:firstLineChars="200"/>
        <w:rPr>
          <w:rFonts w:hint="eastAsia" w:ascii="宋体" w:hAnsi="宋体"/>
          <w:color w:val="auto"/>
          <w:sz w:val="24"/>
          <w:szCs w:val="24"/>
        </w:rPr>
      </w:pPr>
      <w:r>
        <w:rPr>
          <w:rFonts w:hint="eastAsia" w:ascii="宋体" w:hAnsi="宋体" w:cs="方正仿宋_GBK"/>
          <w:color w:val="auto"/>
          <w:sz w:val="24"/>
          <w:szCs w:val="24"/>
        </w:rPr>
        <w:t>9、经磋商确定最终采购需求和提交最后报价的供应商后，由磋商小组采用综合评分法对提交最后报价的供应商的响应文件和最后报价进行综合评分。</w:t>
      </w:r>
    </w:p>
    <w:p>
      <w:pPr>
        <w:pStyle w:val="3"/>
        <w:spacing w:line="276" w:lineRule="auto"/>
        <w:ind w:firstLine="482" w:firstLineChars="200"/>
        <w:rPr>
          <w:rFonts w:hint="eastAsia"/>
          <w:b/>
          <w:color w:val="auto"/>
          <w:sz w:val="24"/>
          <w:szCs w:val="24"/>
        </w:rPr>
      </w:pPr>
      <w:bookmarkStart w:id="33" w:name="_Toc10729"/>
      <w:r>
        <w:rPr>
          <w:rFonts w:hint="eastAsia"/>
          <w:b/>
          <w:color w:val="auto"/>
          <w:sz w:val="24"/>
          <w:szCs w:val="24"/>
        </w:rPr>
        <w:t>二、评审方法</w:t>
      </w:r>
      <w:bookmarkEnd w:id="33"/>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本项目采用综合评分法进行评分。综合评分法，是指响应文件满足磋商文件全部实质性要求且按照评审因素的量化指标评审得分最高的为成交候选供应商的评审方法。供应商总得分为价格、商务、技术等评定因素分别按照相应权重值计算分项得分后相加，满分为100分。</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2、磋商小组各成员独立对每个有效供应商的响应文件进行评价、打分，然后由组长组织磋商小组对各成员打分情况进行核查及复核，个别成员对同一供应商同一评分项的打分偏离较大的，应对供应商的响应文件进行再次核对，确属打分有误的，应及时进行修正。</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复核后，磋商小组汇总每个供应商每项评分因素的得分。</w:t>
      </w:r>
    </w:p>
    <w:p>
      <w:pPr>
        <w:snapToGrid w:val="0"/>
        <w:spacing w:line="276" w:lineRule="auto"/>
        <w:ind w:firstLine="480" w:firstLineChars="200"/>
        <w:rPr>
          <w:rFonts w:hint="eastAsia" w:ascii="宋体" w:hAnsi="宋体"/>
          <w:b/>
          <w:color w:val="auto"/>
          <w:sz w:val="24"/>
          <w:szCs w:val="24"/>
        </w:rPr>
      </w:pPr>
      <w:r>
        <w:rPr>
          <w:rFonts w:hint="eastAsia" w:ascii="宋体" w:hAnsi="宋体"/>
          <w:color w:val="auto"/>
          <w:sz w:val="24"/>
          <w:szCs w:val="24"/>
        </w:rPr>
        <w:t>3、推荐成交候选供应商名单。按评审后得分由高到低的排列顺序</w:t>
      </w:r>
      <w:r>
        <w:rPr>
          <w:rFonts w:hint="eastAsia" w:ascii="宋体" w:hAnsi="宋体" w:cs="宋体"/>
          <w:color w:val="auto"/>
          <w:kern w:val="0"/>
          <w:sz w:val="24"/>
          <w:szCs w:val="24"/>
        </w:rPr>
        <w:t>推荐综合得分排名前三的供应商为本分包（项目）成交候选供应商，</w:t>
      </w:r>
      <w:r>
        <w:rPr>
          <w:rFonts w:hint="eastAsia" w:ascii="宋体" w:hAnsi="宋体"/>
          <w:color w:val="auto"/>
          <w:sz w:val="24"/>
          <w:szCs w:val="24"/>
        </w:rPr>
        <w:t>排名第一的为第一成交候选供应商。若综合得分相同的，按最后报价由低到高顺序排列；若综合得分且最后报价相同的，按技术指标优劣顺序排列；若综合得分、最后报价、技术指标均相同的，按商务部分的优劣顺序排列。技术部分得分为0分的供应商，将失去成为成交候选供应商的资格。</w:t>
      </w:r>
      <w:r>
        <w:rPr>
          <w:rFonts w:hint="eastAsia" w:ascii="宋体" w:hAnsi="宋体"/>
          <w:color w:val="auto"/>
          <w:sz w:val="24"/>
          <w:szCs w:val="24"/>
        </w:rPr>
        <w:br w:type="page"/>
      </w:r>
      <w:bookmarkStart w:id="34" w:name="_Toc267320057"/>
      <w:bookmarkStart w:id="35" w:name="_Toc441065675"/>
      <w:r>
        <w:rPr>
          <w:rFonts w:hint="eastAsia" w:ascii="宋体" w:hAnsi="宋体"/>
          <w:b/>
          <w:color w:val="auto"/>
          <w:sz w:val="24"/>
          <w:szCs w:val="24"/>
        </w:rPr>
        <w:t>三、评审标准</w:t>
      </w:r>
      <w:bookmarkEnd w:id="34"/>
      <w:bookmarkEnd w:id="35"/>
    </w:p>
    <w:p>
      <w:pPr>
        <w:snapToGrid w:val="0"/>
        <w:spacing w:line="276" w:lineRule="auto"/>
        <w:ind w:firstLine="482" w:firstLineChars="200"/>
        <w:rPr>
          <w:rFonts w:hint="eastAsia" w:ascii="宋体" w:hAnsi="宋体"/>
          <w:b/>
          <w:color w:val="auto"/>
          <w:sz w:val="24"/>
          <w:szCs w:val="24"/>
        </w:rPr>
      </w:pPr>
    </w:p>
    <w:tbl>
      <w:tblPr>
        <w:tblStyle w:val="58"/>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067"/>
        <w:gridCol w:w="6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35" w:type="dxa"/>
            <w:noWrap w:val="0"/>
            <w:vAlign w:val="center"/>
          </w:tcPr>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分类</w:t>
            </w:r>
          </w:p>
        </w:tc>
        <w:tc>
          <w:tcPr>
            <w:tcW w:w="1067" w:type="dxa"/>
            <w:noWrap w:val="0"/>
            <w:vAlign w:val="center"/>
          </w:tcPr>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评分项</w:t>
            </w:r>
          </w:p>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及权重</w:t>
            </w:r>
          </w:p>
        </w:tc>
        <w:tc>
          <w:tcPr>
            <w:tcW w:w="6679" w:type="dxa"/>
            <w:noWrap w:val="0"/>
            <w:vAlign w:val="center"/>
          </w:tcPr>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135" w:type="dxa"/>
            <w:noWrap w:val="0"/>
            <w:vAlign w:val="center"/>
          </w:tcPr>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1.</w:t>
            </w:r>
          </w:p>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经济部分</w:t>
            </w:r>
          </w:p>
          <w:p>
            <w:pPr>
              <w:widowControl/>
              <w:jc w:val="center"/>
              <w:rPr>
                <w:rFonts w:hint="eastAsia" w:ascii="宋体" w:hAnsi="宋体" w:cs="宋体"/>
                <w:b/>
                <w:color w:val="auto"/>
                <w:kern w:val="0"/>
                <w:sz w:val="21"/>
                <w:szCs w:val="21"/>
              </w:rPr>
            </w:pPr>
            <w:r>
              <w:rPr>
                <w:rFonts w:hint="eastAsia" w:ascii="宋体" w:hAnsi="宋体" w:cs="宋体"/>
                <w:b/>
                <w:bCs/>
                <w:color w:val="auto"/>
                <w:kern w:val="0"/>
                <w:sz w:val="21"/>
                <w:szCs w:val="21"/>
              </w:rPr>
              <w:t>（20%）</w:t>
            </w:r>
          </w:p>
        </w:tc>
        <w:tc>
          <w:tcPr>
            <w:tcW w:w="1067" w:type="dxa"/>
            <w:noWrap w:val="0"/>
            <w:vAlign w:val="center"/>
          </w:tcPr>
          <w:p>
            <w:pPr>
              <w:jc w:val="center"/>
              <w:rPr>
                <w:rFonts w:hint="eastAsia" w:ascii="方正仿宋_GBK" w:hAnsi="宋体" w:eastAsia="方正仿宋_GBK"/>
                <w:color w:val="auto"/>
                <w:sz w:val="21"/>
                <w:szCs w:val="21"/>
              </w:rPr>
            </w:pPr>
            <w:r>
              <w:rPr>
                <w:rFonts w:hint="eastAsia" w:ascii="方正仿宋_GBK" w:hAnsi="宋体" w:eastAsia="方正仿宋_GBK"/>
                <w:color w:val="auto"/>
                <w:sz w:val="21"/>
                <w:szCs w:val="21"/>
              </w:rPr>
              <w:t>经济分</w:t>
            </w:r>
          </w:p>
          <w:p>
            <w:pPr>
              <w:jc w:val="center"/>
              <w:rPr>
                <w:rFonts w:hint="eastAsia" w:ascii="方正仿宋_GBK" w:hAnsi="宋体" w:eastAsia="方正仿宋_GBK"/>
                <w:color w:val="auto"/>
                <w:sz w:val="21"/>
                <w:szCs w:val="21"/>
              </w:rPr>
            </w:pPr>
            <w:r>
              <w:rPr>
                <w:rFonts w:hint="eastAsia" w:ascii="方正仿宋_GBK" w:hAnsi="宋体" w:eastAsia="方正仿宋_GBK"/>
                <w:color w:val="auto"/>
                <w:sz w:val="21"/>
                <w:szCs w:val="21"/>
              </w:rPr>
              <w:t>（20）</w:t>
            </w:r>
          </w:p>
        </w:tc>
        <w:tc>
          <w:tcPr>
            <w:tcW w:w="6679" w:type="dxa"/>
            <w:noWrap w:val="0"/>
            <w:vAlign w:val="center"/>
          </w:tcPr>
          <w:p>
            <w:pPr>
              <w:spacing w:line="276" w:lineRule="auto"/>
              <w:ind w:firstLine="399" w:firstLineChars="190"/>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经济分＝（评标基准价/最终评审价）×20分；</w:t>
            </w:r>
          </w:p>
          <w:p>
            <w:pPr>
              <w:spacing w:line="276" w:lineRule="auto"/>
              <w:ind w:firstLine="399" w:firstLineChars="190"/>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注：</w:t>
            </w:r>
            <w:r>
              <w:rPr>
                <w:rFonts w:hint="eastAsia" w:ascii="宋体" w:hAnsi="宋体" w:eastAsia="宋体" w:cs="Times New Roman"/>
                <w:color w:val="auto"/>
                <w:sz w:val="21"/>
                <w:szCs w:val="21"/>
                <w:lang w:val="en-US" w:eastAsia="zh-CN"/>
              </w:rPr>
              <w:t>1、</w:t>
            </w:r>
            <w:r>
              <w:rPr>
                <w:rFonts w:hint="eastAsia" w:ascii="宋体" w:hAnsi="宋体" w:eastAsia="宋体" w:cs="Times New Roman"/>
                <w:color w:val="auto"/>
                <w:sz w:val="21"/>
                <w:szCs w:val="21"/>
                <w:lang w:eastAsia="zh-CN"/>
              </w:rPr>
              <w:t>经济分按单次服务价进行评分，以评审后有效的投标报价中最低价作为评标基准价；</w:t>
            </w:r>
          </w:p>
          <w:p>
            <w:pPr>
              <w:spacing w:line="276" w:lineRule="auto"/>
              <w:ind w:firstLine="399" w:firstLineChars="190"/>
              <w:rPr>
                <w:rFonts w:hint="default"/>
                <w:color w:val="auto"/>
                <w:lang w:val="en-US" w:eastAsia="zh-CN"/>
              </w:rPr>
            </w:pP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lang w:eastAsia="zh-CN"/>
              </w:rPr>
              <w:t>小微企业符合扣减条件的，按本文件约定对二次报价作相应扣除后，计算评标基准价和最终评审价；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135" w:type="dxa"/>
            <w:vMerge w:val="restart"/>
            <w:noWrap w:val="0"/>
            <w:vAlign w:val="center"/>
          </w:tcPr>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2.</w:t>
            </w:r>
          </w:p>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商务部分</w:t>
            </w:r>
          </w:p>
          <w:p>
            <w:pPr>
              <w:jc w:val="center"/>
              <w:rPr>
                <w:rFonts w:ascii="宋体" w:hAnsi="宋体"/>
                <w:color w:val="auto"/>
                <w:sz w:val="21"/>
                <w:szCs w:val="21"/>
              </w:rPr>
            </w:pPr>
            <w:r>
              <w:rPr>
                <w:rFonts w:hint="eastAsia" w:ascii="宋体" w:hAnsi="宋体" w:cs="宋体"/>
                <w:b/>
                <w:bCs/>
                <w:color w:val="auto"/>
                <w:kern w:val="0"/>
                <w:sz w:val="21"/>
                <w:szCs w:val="21"/>
              </w:rPr>
              <w:t>(</w:t>
            </w:r>
            <w:r>
              <w:rPr>
                <w:rFonts w:hint="eastAsia" w:ascii="宋体" w:hAnsi="宋体" w:cs="宋体"/>
                <w:b/>
                <w:bCs/>
                <w:color w:val="auto"/>
                <w:kern w:val="0"/>
                <w:sz w:val="21"/>
                <w:szCs w:val="21"/>
                <w:lang w:val="en-US" w:eastAsia="zh-CN"/>
              </w:rPr>
              <w:t>10</w:t>
            </w:r>
            <w:r>
              <w:rPr>
                <w:rFonts w:hint="eastAsia" w:ascii="宋体" w:hAnsi="宋体" w:cs="宋体"/>
                <w:b/>
                <w:bCs/>
                <w:color w:val="auto"/>
                <w:kern w:val="0"/>
                <w:sz w:val="21"/>
                <w:szCs w:val="21"/>
              </w:rPr>
              <w:t>%)</w:t>
            </w:r>
          </w:p>
        </w:tc>
        <w:tc>
          <w:tcPr>
            <w:tcW w:w="1067" w:type="dxa"/>
            <w:noWrap w:val="0"/>
            <w:vAlign w:val="center"/>
          </w:tcPr>
          <w:p>
            <w:pPr>
              <w:jc w:val="center"/>
              <w:rPr>
                <w:rFonts w:hint="eastAsia" w:ascii="方正仿宋_GBK" w:hAnsi="宋体" w:eastAsia="方正仿宋_GBK" w:cs="Times New Roman"/>
                <w:color w:val="auto"/>
                <w:sz w:val="21"/>
                <w:szCs w:val="21"/>
              </w:rPr>
            </w:pPr>
            <w:r>
              <w:rPr>
                <w:rFonts w:hint="eastAsia" w:ascii="方正仿宋_GBK" w:hAnsi="宋体" w:eastAsia="方正仿宋_GBK" w:cs="Times New Roman"/>
                <w:color w:val="auto"/>
                <w:sz w:val="21"/>
                <w:szCs w:val="21"/>
              </w:rPr>
              <w:t>科研合作</w:t>
            </w:r>
          </w:p>
          <w:p>
            <w:pPr>
              <w:jc w:val="center"/>
              <w:rPr>
                <w:rFonts w:hint="eastAsia" w:ascii="方正仿宋_GBK" w:hAnsi="宋体" w:eastAsia="方正仿宋_GBK" w:cs="Times New Roman"/>
                <w:color w:val="auto"/>
                <w:sz w:val="21"/>
                <w:szCs w:val="21"/>
              </w:rPr>
            </w:pPr>
            <w:r>
              <w:rPr>
                <w:rFonts w:hint="eastAsia" w:ascii="方正仿宋_GBK" w:hAnsi="宋体" w:eastAsia="方正仿宋_GBK" w:cs="Times New Roman"/>
                <w:color w:val="auto"/>
                <w:sz w:val="21"/>
                <w:szCs w:val="21"/>
              </w:rPr>
              <w:t>（</w:t>
            </w:r>
            <w:r>
              <w:rPr>
                <w:rFonts w:hint="eastAsia" w:ascii="方正仿宋_GBK" w:hAnsi="宋体" w:eastAsia="方正仿宋_GBK" w:cs="Times New Roman"/>
                <w:color w:val="auto"/>
                <w:sz w:val="21"/>
                <w:szCs w:val="21"/>
                <w:lang w:val="en-US" w:eastAsia="zh-CN"/>
              </w:rPr>
              <w:t>6</w:t>
            </w:r>
            <w:r>
              <w:rPr>
                <w:rFonts w:hint="eastAsia" w:ascii="方正仿宋_GBK" w:hAnsi="宋体" w:eastAsia="方正仿宋_GBK" w:cs="Times New Roman"/>
                <w:color w:val="auto"/>
                <w:sz w:val="21"/>
                <w:szCs w:val="21"/>
              </w:rPr>
              <w:t>分）</w:t>
            </w:r>
          </w:p>
        </w:tc>
        <w:tc>
          <w:tcPr>
            <w:tcW w:w="6679" w:type="dxa"/>
            <w:noWrap w:val="0"/>
            <w:vAlign w:val="center"/>
          </w:tcPr>
          <w:p>
            <w:pPr>
              <w:widowControl/>
              <w:spacing w:line="276" w:lineRule="auto"/>
              <w:ind w:firstLine="399" w:firstLineChars="190"/>
              <w:jc w:val="left"/>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有</w:t>
            </w:r>
            <w:r>
              <w:rPr>
                <w:rFonts w:hint="eastAsia" w:ascii="宋体" w:hAnsi="宋体"/>
                <w:color w:val="auto"/>
                <w:sz w:val="21"/>
                <w:szCs w:val="21"/>
                <w:lang w:eastAsia="zh-CN"/>
              </w:rPr>
              <w:t>数据生成软件原厂与</w:t>
            </w:r>
            <w:r>
              <w:rPr>
                <w:rFonts w:hint="eastAsia" w:ascii="宋体" w:hAnsi="宋体" w:eastAsia="宋体" w:cs="Times New Roman"/>
                <w:color w:val="auto"/>
                <w:sz w:val="21"/>
                <w:szCs w:val="21"/>
              </w:rPr>
              <w:t>医院</w:t>
            </w:r>
            <w:r>
              <w:rPr>
                <w:rFonts w:hint="eastAsia" w:ascii="宋体" w:hAnsi="宋体" w:eastAsia="宋体" w:cs="Times New Roman"/>
                <w:color w:val="auto"/>
                <w:sz w:val="21"/>
                <w:szCs w:val="21"/>
                <w:lang w:eastAsia="zh-CN"/>
              </w:rPr>
              <w:t>的</w:t>
            </w:r>
            <w:r>
              <w:rPr>
                <w:rFonts w:hint="eastAsia" w:ascii="宋体" w:hAnsi="宋体" w:eastAsia="宋体" w:cs="Times New Roman"/>
                <w:color w:val="auto"/>
                <w:sz w:val="21"/>
                <w:szCs w:val="21"/>
              </w:rPr>
              <w:t>科研合作</w:t>
            </w:r>
            <w:r>
              <w:rPr>
                <w:rFonts w:hint="eastAsia" w:ascii="宋体" w:hAnsi="宋体" w:eastAsia="宋体" w:cs="Times New Roman"/>
                <w:color w:val="auto"/>
                <w:sz w:val="21"/>
                <w:szCs w:val="21"/>
                <w:lang w:eastAsia="zh-CN"/>
              </w:rPr>
              <w:t>案例，</w:t>
            </w:r>
            <w:r>
              <w:rPr>
                <w:rFonts w:hint="eastAsia" w:ascii="宋体" w:hAnsi="宋体" w:eastAsia="宋体" w:cs="Times New Roman"/>
                <w:color w:val="auto"/>
                <w:sz w:val="21"/>
                <w:szCs w:val="21"/>
              </w:rPr>
              <w:t>得分</w:t>
            </w:r>
            <w:r>
              <w:rPr>
                <w:rFonts w:hint="eastAsia" w:ascii="宋体" w:hAnsi="宋体" w:eastAsia="宋体" w:cs="Times New Roman"/>
                <w:color w:val="auto"/>
                <w:sz w:val="21"/>
                <w:szCs w:val="21"/>
                <w:lang w:val="en-US" w:eastAsia="zh-CN"/>
              </w:rPr>
              <w:t>6</w:t>
            </w:r>
            <w:r>
              <w:rPr>
                <w:rFonts w:hint="eastAsia" w:ascii="宋体" w:hAnsi="宋体" w:eastAsia="宋体" w:cs="Times New Roman"/>
                <w:color w:val="auto"/>
                <w:sz w:val="21"/>
                <w:szCs w:val="21"/>
              </w:rPr>
              <w:t>分</w:t>
            </w:r>
            <w:r>
              <w:rPr>
                <w:rFonts w:hint="eastAsia" w:ascii="宋体" w:hAnsi="宋体" w:eastAsia="宋体" w:cs="Times New Roman"/>
                <w:color w:val="auto"/>
                <w:sz w:val="21"/>
                <w:szCs w:val="21"/>
                <w:lang w:eastAsia="zh-CN"/>
              </w:rPr>
              <w:t>。</w:t>
            </w:r>
          </w:p>
          <w:p>
            <w:pPr>
              <w:widowControl/>
              <w:spacing w:line="276" w:lineRule="auto"/>
              <w:ind w:firstLine="399" w:firstLineChars="190"/>
              <w:jc w:val="left"/>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rPr>
              <w:t>以投标文件中加盖鲜章的</w:t>
            </w:r>
            <w:r>
              <w:rPr>
                <w:rFonts w:hint="eastAsia" w:ascii="宋体" w:hAnsi="宋体" w:eastAsia="宋体" w:cs="Times New Roman"/>
                <w:color w:val="auto"/>
                <w:sz w:val="21"/>
                <w:szCs w:val="21"/>
                <w:lang w:eastAsia="zh-CN"/>
              </w:rPr>
              <w:t>字迹清晰的合同</w:t>
            </w:r>
            <w:r>
              <w:rPr>
                <w:rFonts w:hint="eastAsia" w:ascii="宋体" w:hAnsi="宋体" w:eastAsia="宋体" w:cs="Times New Roman"/>
                <w:color w:val="auto"/>
                <w:sz w:val="21"/>
                <w:szCs w:val="21"/>
              </w:rPr>
              <w:t>复印件为准</w:t>
            </w:r>
            <w:r>
              <w:rPr>
                <w:rFonts w:hint="eastAsia" w:ascii="宋体" w:hAnsi="宋体" w:eastAsia="宋体" w:cs="Times New Roman"/>
                <w:color w:val="auto"/>
                <w:sz w:val="21"/>
                <w:szCs w:val="21"/>
                <w:lang w:eastAsia="zh-CN"/>
              </w:rPr>
              <w:t>，同时提供科研合作医院的联系人及联系方式，以供核验。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noWrap w:val="0"/>
            <w:vAlign w:val="center"/>
          </w:tcPr>
          <w:p>
            <w:pPr>
              <w:jc w:val="center"/>
              <w:rPr>
                <w:rFonts w:ascii="宋体" w:hAnsi="宋体" w:cs="宋体"/>
                <w:color w:val="auto"/>
                <w:sz w:val="21"/>
                <w:szCs w:val="21"/>
              </w:rPr>
            </w:pPr>
          </w:p>
        </w:tc>
        <w:tc>
          <w:tcPr>
            <w:tcW w:w="1067" w:type="dxa"/>
            <w:noWrap w:val="0"/>
            <w:vAlign w:val="center"/>
          </w:tcPr>
          <w:p>
            <w:pPr>
              <w:jc w:val="center"/>
              <w:rPr>
                <w:rFonts w:hint="eastAsia" w:ascii="方正仿宋_GBK" w:hAnsi="宋体" w:eastAsia="方正仿宋_GBK"/>
                <w:color w:val="auto"/>
                <w:sz w:val="21"/>
                <w:szCs w:val="21"/>
              </w:rPr>
            </w:pPr>
            <w:r>
              <w:rPr>
                <w:rFonts w:hint="eastAsia" w:ascii="方正仿宋_GBK" w:hAnsi="宋体" w:eastAsia="方正仿宋_GBK"/>
                <w:color w:val="auto"/>
                <w:sz w:val="21"/>
                <w:szCs w:val="21"/>
                <w:lang w:eastAsia="zh-CN"/>
              </w:rPr>
              <w:t>数据安全</w:t>
            </w:r>
            <w:r>
              <w:rPr>
                <w:rFonts w:hint="eastAsia" w:ascii="方正仿宋_GBK" w:hAnsi="宋体" w:eastAsia="方正仿宋_GBK"/>
                <w:color w:val="auto"/>
                <w:sz w:val="21"/>
                <w:szCs w:val="21"/>
              </w:rPr>
              <w:t>（</w:t>
            </w:r>
            <w:r>
              <w:rPr>
                <w:rFonts w:hint="eastAsia" w:ascii="方正仿宋_GBK" w:hAnsi="宋体" w:eastAsia="方正仿宋_GBK"/>
                <w:color w:val="auto"/>
                <w:sz w:val="21"/>
                <w:szCs w:val="21"/>
                <w:lang w:val="en-US" w:eastAsia="zh-CN"/>
              </w:rPr>
              <w:t>4</w:t>
            </w:r>
            <w:r>
              <w:rPr>
                <w:rFonts w:hint="eastAsia" w:ascii="方正仿宋_GBK" w:hAnsi="宋体" w:eastAsia="方正仿宋_GBK"/>
                <w:color w:val="auto"/>
                <w:sz w:val="21"/>
                <w:szCs w:val="21"/>
              </w:rPr>
              <w:t>）</w:t>
            </w:r>
          </w:p>
        </w:tc>
        <w:tc>
          <w:tcPr>
            <w:tcW w:w="6679" w:type="dxa"/>
            <w:noWrap w:val="0"/>
            <w:vAlign w:val="center"/>
          </w:tcPr>
          <w:p>
            <w:pPr>
              <w:spacing w:line="276" w:lineRule="auto"/>
              <w:ind w:firstLine="399" w:firstLineChars="190"/>
              <w:rPr>
                <w:rFonts w:hint="eastAsia" w:ascii="宋体" w:hAnsi="宋体"/>
                <w:color w:val="auto"/>
                <w:sz w:val="21"/>
                <w:szCs w:val="21"/>
              </w:rPr>
            </w:pPr>
            <w:r>
              <w:rPr>
                <w:rFonts w:hint="eastAsia" w:ascii="宋体" w:hAnsi="宋体"/>
                <w:color w:val="auto"/>
                <w:sz w:val="21"/>
                <w:szCs w:val="21"/>
              </w:rPr>
              <w:t>本项目能提供</w:t>
            </w:r>
            <w:r>
              <w:rPr>
                <w:rFonts w:hint="eastAsia" w:ascii="宋体" w:hAnsi="宋体"/>
                <w:color w:val="auto"/>
                <w:sz w:val="21"/>
                <w:szCs w:val="21"/>
                <w:lang w:val="en-US" w:eastAsia="zh-CN"/>
              </w:rPr>
              <w:t>二</w:t>
            </w:r>
            <w:r>
              <w:rPr>
                <w:rFonts w:hint="eastAsia" w:ascii="宋体" w:hAnsi="宋体"/>
                <w:color w:val="auto"/>
                <w:sz w:val="21"/>
                <w:szCs w:val="21"/>
              </w:rPr>
              <w:t>级</w:t>
            </w:r>
            <w:r>
              <w:rPr>
                <w:rFonts w:hint="eastAsia" w:ascii="宋体" w:hAnsi="宋体"/>
                <w:color w:val="auto"/>
                <w:sz w:val="21"/>
                <w:szCs w:val="21"/>
                <w:lang w:eastAsia="zh-CN"/>
              </w:rPr>
              <w:t>或以上</w:t>
            </w:r>
            <w:r>
              <w:rPr>
                <w:rFonts w:hint="eastAsia" w:ascii="宋体" w:hAnsi="宋体"/>
                <w:color w:val="auto"/>
                <w:sz w:val="21"/>
                <w:szCs w:val="21"/>
              </w:rPr>
              <w:t>信息系统安全等级保护证明的得</w:t>
            </w:r>
            <w:r>
              <w:rPr>
                <w:rFonts w:hint="eastAsia" w:ascii="宋体" w:hAnsi="宋体"/>
                <w:color w:val="auto"/>
                <w:sz w:val="21"/>
                <w:szCs w:val="21"/>
                <w:lang w:val="en-US" w:eastAsia="zh-CN"/>
              </w:rPr>
              <w:t>4</w:t>
            </w:r>
            <w:r>
              <w:rPr>
                <w:rFonts w:hint="eastAsia" w:ascii="宋体" w:hAnsi="宋体"/>
                <w:color w:val="auto"/>
                <w:sz w:val="21"/>
                <w:szCs w:val="21"/>
              </w:rPr>
              <w:t>分，不提供不得分。</w:t>
            </w:r>
            <w:r>
              <w:rPr>
                <w:rFonts w:hint="eastAsia" w:ascii="宋体" w:hAnsi="宋体" w:eastAsia="宋体" w:cs="Times New Roman"/>
                <w:color w:val="auto"/>
                <w:sz w:val="21"/>
                <w:szCs w:val="21"/>
                <w:lang w:eastAsia="zh-CN"/>
              </w:rPr>
              <w:t>以提供加盖投标人鲜章的复印件为准。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35" w:type="dxa"/>
            <w:vMerge w:val="restart"/>
            <w:noWrap w:val="0"/>
            <w:vAlign w:val="center"/>
          </w:tcPr>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3.</w:t>
            </w:r>
          </w:p>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技术部分</w:t>
            </w:r>
          </w:p>
          <w:p>
            <w:pPr>
              <w:widowControl/>
              <w:jc w:val="center"/>
              <w:rPr>
                <w:rFonts w:hint="eastAsia" w:ascii="宋体" w:hAnsi="宋体"/>
                <w:color w:val="auto"/>
                <w:sz w:val="21"/>
                <w:szCs w:val="21"/>
              </w:rPr>
            </w:pPr>
            <w:r>
              <w:rPr>
                <w:rFonts w:hint="eastAsia" w:ascii="宋体" w:hAnsi="宋体" w:cs="宋体"/>
                <w:b/>
                <w:bCs/>
                <w:color w:val="auto"/>
                <w:kern w:val="0"/>
                <w:sz w:val="21"/>
                <w:szCs w:val="21"/>
              </w:rPr>
              <w:t>(</w:t>
            </w:r>
            <w:r>
              <w:rPr>
                <w:rFonts w:hint="eastAsia" w:ascii="宋体" w:hAnsi="宋体" w:cs="宋体"/>
                <w:b/>
                <w:bCs/>
                <w:color w:val="auto"/>
                <w:kern w:val="0"/>
                <w:sz w:val="21"/>
                <w:szCs w:val="21"/>
                <w:lang w:val="en-US" w:eastAsia="zh-CN"/>
              </w:rPr>
              <w:t>70</w:t>
            </w:r>
            <w:r>
              <w:rPr>
                <w:rFonts w:hint="eastAsia" w:ascii="宋体" w:hAnsi="宋体" w:cs="宋体"/>
                <w:b/>
                <w:bCs/>
                <w:color w:val="auto"/>
                <w:kern w:val="0"/>
                <w:sz w:val="21"/>
                <w:szCs w:val="21"/>
              </w:rPr>
              <w:t>%)</w:t>
            </w:r>
          </w:p>
        </w:tc>
        <w:tc>
          <w:tcPr>
            <w:tcW w:w="1067" w:type="dxa"/>
            <w:noWrap w:val="0"/>
            <w:vAlign w:val="center"/>
          </w:tcPr>
          <w:p>
            <w:pPr>
              <w:jc w:val="center"/>
              <w:rPr>
                <w:rFonts w:hint="eastAsia" w:ascii="方正仿宋_GBK" w:hAnsi="宋体" w:eastAsia="方正仿宋_GBK"/>
                <w:color w:val="auto"/>
                <w:sz w:val="21"/>
                <w:szCs w:val="21"/>
              </w:rPr>
            </w:pPr>
            <w:r>
              <w:rPr>
                <w:rFonts w:hint="eastAsia" w:ascii="方正仿宋_GBK" w:hAnsi="宋体" w:eastAsia="方正仿宋_GBK" w:cs="Times New Roman"/>
                <w:color w:val="auto"/>
                <w:sz w:val="21"/>
                <w:szCs w:val="21"/>
                <w:lang w:eastAsia="zh-CN"/>
              </w:rPr>
              <w:t>软件证书及相关资质（</w:t>
            </w:r>
            <w:r>
              <w:rPr>
                <w:rFonts w:hint="eastAsia" w:ascii="方正仿宋_GBK" w:hAnsi="宋体" w:eastAsia="方正仿宋_GBK" w:cs="Times New Roman"/>
                <w:color w:val="auto"/>
                <w:sz w:val="21"/>
                <w:szCs w:val="21"/>
                <w:lang w:val="en-US" w:eastAsia="zh-CN"/>
              </w:rPr>
              <w:t>15</w:t>
            </w:r>
            <w:r>
              <w:rPr>
                <w:rFonts w:hint="eastAsia" w:ascii="方正仿宋_GBK" w:hAnsi="宋体" w:eastAsia="方正仿宋_GBK" w:cs="Times New Roman"/>
                <w:color w:val="auto"/>
                <w:sz w:val="21"/>
                <w:szCs w:val="21"/>
                <w:lang w:eastAsia="zh-CN"/>
              </w:rPr>
              <w:t>）</w:t>
            </w:r>
          </w:p>
        </w:tc>
        <w:tc>
          <w:tcPr>
            <w:tcW w:w="6679" w:type="dxa"/>
            <w:noWrap w:val="0"/>
            <w:vAlign w:val="center"/>
          </w:tcPr>
          <w:p>
            <w:pPr>
              <w:spacing w:line="276" w:lineRule="auto"/>
              <w:ind w:firstLine="399" w:firstLineChars="190"/>
              <w:rPr>
                <w:rFonts w:hint="eastAsia" w:ascii="宋体" w:hAnsi="宋体" w:eastAsia="宋体" w:cs="Times New Roman"/>
                <w:color w:val="auto"/>
                <w:sz w:val="21"/>
                <w:szCs w:val="21"/>
              </w:rPr>
            </w:pPr>
            <w:r>
              <w:rPr>
                <w:rFonts w:hint="eastAsia" w:ascii="宋体" w:hAnsi="宋体" w:eastAsia="宋体" w:cs="Times New Roman"/>
                <w:color w:val="auto"/>
                <w:sz w:val="21"/>
                <w:szCs w:val="21"/>
              </w:rPr>
              <w:t>投标人</w:t>
            </w:r>
            <w:r>
              <w:rPr>
                <w:rFonts w:hint="eastAsia" w:ascii="宋体" w:hAnsi="宋体" w:eastAsia="宋体" w:cs="Times New Roman"/>
                <w:color w:val="auto"/>
                <w:sz w:val="21"/>
                <w:szCs w:val="21"/>
                <w:lang w:eastAsia="zh-CN"/>
              </w:rPr>
              <w:t>提供的数据生成软件</w:t>
            </w:r>
            <w:r>
              <w:rPr>
                <w:rFonts w:hint="eastAsia" w:ascii="宋体" w:hAnsi="宋体" w:eastAsia="宋体" w:cs="Times New Roman"/>
                <w:color w:val="auto"/>
                <w:sz w:val="21"/>
                <w:szCs w:val="21"/>
              </w:rPr>
              <w:t>具有影像处理系统著作权证书</w:t>
            </w:r>
            <w:r>
              <w:rPr>
                <w:rFonts w:hint="eastAsia" w:ascii="宋体" w:hAnsi="宋体" w:eastAsia="宋体" w:cs="Times New Roman"/>
                <w:color w:val="auto"/>
                <w:sz w:val="21"/>
                <w:szCs w:val="21"/>
                <w:lang w:eastAsia="zh-CN"/>
              </w:rPr>
              <w:t>及相关资质</w:t>
            </w:r>
            <w:r>
              <w:rPr>
                <w:rFonts w:hint="eastAsia" w:ascii="宋体" w:hAnsi="宋体" w:eastAsia="宋体" w:cs="Times New Roman"/>
                <w:color w:val="auto"/>
                <w:sz w:val="21"/>
                <w:szCs w:val="21"/>
              </w:rPr>
              <w:t>，根据证书</w:t>
            </w:r>
            <w:r>
              <w:rPr>
                <w:rFonts w:hint="eastAsia" w:ascii="宋体" w:hAnsi="宋体" w:eastAsia="宋体" w:cs="Times New Roman"/>
                <w:color w:val="auto"/>
                <w:sz w:val="21"/>
                <w:szCs w:val="21"/>
                <w:lang w:eastAsia="zh-CN"/>
              </w:rPr>
              <w:t>及资质</w:t>
            </w:r>
            <w:r>
              <w:rPr>
                <w:rFonts w:hint="eastAsia" w:ascii="宋体" w:hAnsi="宋体" w:eastAsia="宋体" w:cs="Times New Roman"/>
                <w:color w:val="auto"/>
                <w:sz w:val="21"/>
                <w:szCs w:val="21"/>
              </w:rPr>
              <w:t>进行打分：</w:t>
            </w:r>
          </w:p>
          <w:p>
            <w:pPr>
              <w:numPr>
                <w:ilvl w:val="0"/>
                <w:numId w:val="19"/>
              </w:numPr>
              <w:spacing w:line="276" w:lineRule="auto"/>
              <w:ind w:firstLine="399" w:firstLineChars="190"/>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val="en-US" w:eastAsia="zh-CN"/>
              </w:rPr>
              <w:t>获得</w:t>
            </w:r>
            <w:r>
              <w:rPr>
                <w:rFonts w:hint="eastAsia" w:ascii="宋体" w:hAnsi="宋体" w:eastAsia="宋体" w:cs="Times New Roman"/>
                <w:color w:val="auto"/>
                <w:sz w:val="21"/>
                <w:szCs w:val="21"/>
              </w:rPr>
              <w:t>网络平台软件著作权得1分</w:t>
            </w:r>
            <w:r>
              <w:rPr>
                <w:rFonts w:hint="eastAsia" w:ascii="宋体" w:hAnsi="宋体" w:eastAsia="宋体" w:cs="Times New Roman"/>
                <w:color w:val="auto"/>
                <w:sz w:val="21"/>
                <w:szCs w:val="21"/>
                <w:lang w:eastAsia="zh-CN"/>
              </w:rPr>
              <w:t>；</w:t>
            </w:r>
          </w:p>
          <w:p>
            <w:pPr>
              <w:numPr>
                <w:ilvl w:val="0"/>
                <w:numId w:val="19"/>
              </w:numPr>
              <w:spacing w:line="276" w:lineRule="auto"/>
              <w:ind w:firstLine="399" w:firstLineChars="190"/>
              <w:rPr>
                <w:rFonts w:hint="eastAsia" w:ascii="宋体" w:hAnsi="宋体" w:eastAsia="宋体" w:cs="Times New Roman"/>
                <w:color w:val="auto"/>
                <w:sz w:val="21"/>
                <w:szCs w:val="21"/>
              </w:rPr>
            </w:pPr>
            <w:r>
              <w:rPr>
                <w:rFonts w:hint="eastAsia" w:ascii="宋体" w:hAnsi="宋体" w:eastAsia="宋体" w:cs="Times New Roman"/>
                <w:strike w:val="0"/>
                <w:dstrike w:val="0"/>
                <w:color w:val="auto"/>
                <w:sz w:val="21"/>
                <w:szCs w:val="21"/>
              </w:rPr>
              <w:t>数据生成软件</w:t>
            </w:r>
            <w:r>
              <w:rPr>
                <w:rFonts w:hint="eastAsia" w:ascii="宋体" w:hAnsi="宋体" w:eastAsia="宋体" w:cs="Times New Roman"/>
                <w:color w:val="auto"/>
                <w:sz w:val="21"/>
                <w:szCs w:val="21"/>
              </w:rPr>
              <w:t>被专业书籍</w:t>
            </w:r>
            <w:r>
              <w:rPr>
                <w:rFonts w:hint="eastAsia" w:ascii="宋体" w:hAnsi="宋体" w:eastAsia="宋体" w:cs="Times New Roman"/>
                <w:color w:val="auto"/>
                <w:sz w:val="21"/>
                <w:szCs w:val="21"/>
                <w:lang w:eastAsia="zh-CN"/>
              </w:rPr>
              <w:t>引</w:t>
            </w:r>
            <w:r>
              <w:rPr>
                <w:rFonts w:hint="eastAsia" w:ascii="宋体" w:hAnsi="宋体" w:eastAsia="宋体" w:cs="Times New Roman"/>
                <w:color w:val="auto"/>
                <w:sz w:val="21"/>
                <w:szCs w:val="21"/>
              </w:rPr>
              <w:t>用</w:t>
            </w:r>
            <w:r>
              <w:rPr>
                <w:rFonts w:hint="eastAsia" w:ascii="宋体" w:hAnsi="宋体" w:eastAsia="宋体" w:cs="Times New Roman"/>
                <w:color w:val="auto"/>
                <w:sz w:val="21"/>
                <w:szCs w:val="21"/>
                <w:lang w:eastAsia="zh-CN"/>
              </w:rPr>
              <w:t>或推荐的，得</w:t>
            </w:r>
            <w:r>
              <w:rPr>
                <w:rFonts w:hint="eastAsia" w:ascii="宋体" w:hAnsi="宋体" w:eastAsia="宋体" w:cs="Times New Roman"/>
                <w:color w:val="auto"/>
                <w:sz w:val="21"/>
                <w:szCs w:val="21"/>
              </w:rPr>
              <w:t>5分（提供</w:t>
            </w:r>
            <w:r>
              <w:rPr>
                <w:rFonts w:hint="eastAsia" w:ascii="宋体" w:hAnsi="宋体" w:eastAsia="宋体" w:cs="Times New Roman"/>
                <w:color w:val="auto"/>
                <w:sz w:val="21"/>
                <w:szCs w:val="21"/>
                <w:lang w:eastAsia="zh-CN"/>
              </w:rPr>
              <w:t>可清晰识别的</w:t>
            </w:r>
            <w:r>
              <w:rPr>
                <w:rFonts w:hint="eastAsia" w:ascii="宋体" w:hAnsi="宋体" w:eastAsia="宋体" w:cs="Times New Roman"/>
                <w:color w:val="auto"/>
                <w:sz w:val="21"/>
                <w:szCs w:val="21"/>
              </w:rPr>
              <w:t>书籍</w:t>
            </w:r>
            <w:r>
              <w:rPr>
                <w:rFonts w:hint="eastAsia" w:ascii="宋体" w:hAnsi="宋体" w:eastAsia="宋体" w:cs="Times New Roman"/>
                <w:color w:val="auto"/>
                <w:sz w:val="21"/>
                <w:szCs w:val="21"/>
                <w:lang w:eastAsia="zh-CN"/>
              </w:rPr>
              <w:t>封面页、引用页复印件或照片</w:t>
            </w:r>
            <w:r>
              <w:rPr>
                <w:rFonts w:hint="eastAsia" w:ascii="宋体" w:hAnsi="宋体" w:eastAsia="宋体" w:cs="Times New Roman"/>
                <w:color w:val="auto"/>
                <w:sz w:val="21"/>
                <w:szCs w:val="21"/>
              </w:rPr>
              <w:t>）</w:t>
            </w:r>
          </w:p>
          <w:p>
            <w:pPr>
              <w:spacing w:line="276" w:lineRule="auto"/>
              <w:ind w:firstLine="399" w:firstLineChars="190"/>
              <w:rPr>
                <w:rFonts w:hint="eastAsia" w:ascii="宋体" w:hAnsi="宋体" w:eastAsia="宋体" w:cs="Times New Roman"/>
                <w:color w:val="auto"/>
                <w:sz w:val="21"/>
                <w:szCs w:val="21"/>
                <w:highlight w:val="yellow"/>
              </w:rPr>
            </w:pPr>
            <w:r>
              <w:rPr>
                <w:rFonts w:hint="eastAsia" w:ascii="宋体" w:hAnsi="宋体" w:eastAsia="宋体" w:cs="Times New Roman"/>
                <w:color w:val="auto"/>
                <w:sz w:val="21"/>
                <w:szCs w:val="21"/>
              </w:rPr>
              <w:t>3、</w:t>
            </w:r>
            <w:r>
              <w:rPr>
                <w:rFonts w:hint="eastAsia" w:ascii="宋体" w:hAnsi="宋体" w:eastAsia="宋体" w:cs="Times New Roman"/>
                <w:color w:val="auto"/>
                <w:sz w:val="21"/>
                <w:szCs w:val="21"/>
                <w:lang w:eastAsia="zh-CN"/>
              </w:rPr>
              <w:t>投标人获得并</w:t>
            </w:r>
            <w:r>
              <w:rPr>
                <w:rFonts w:hint="eastAsia" w:ascii="宋体" w:hAnsi="宋体" w:eastAsia="宋体" w:cs="Times New Roman"/>
                <w:color w:val="auto"/>
                <w:sz w:val="21"/>
                <w:szCs w:val="21"/>
                <w:highlight w:val="none"/>
              </w:rPr>
              <w:t>提</w:t>
            </w:r>
            <w:r>
              <w:rPr>
                <w:rFonts w:hint="eastAsia" w:ascii="宋体" w:hAnsi="宋体" w:eastAsia="宋体" w:cs="Times New Roman"/>
                <w:color w:val="auto"/>
                <w:sz w:val="21"/>
                <w:szCs w:val="21"/>
                <w:highlight w:val="none"/>
                <w:lang w:eastAsia="zh-CN"/>
              </w:rPr>
              <w:t>供</w:t>
            </w:r>
            <w:r>
              <w:rPr>
                <w:rFonts w:hint="eastAsia" w:ascii="宋体" w:hAnsi="宋体" w:eastAsia="宋体" w:cs="Times New Roman"/>
                <w:strike w:val="0"/>
                <w:dstrike w:val="0"/>
                <w:color w:val="auto"/>
                <w:sz w:val="21"/>
                <w:szCs w:val="21"/>
                <w:highlight w:val="none"/>
              </w:rPr>
              <w:t>数据生成软件</w:t>
            </w:r>
            <w:r>
              <w:rPr>
                <w:rFonts w:hint="eastAsia" w:ascii="宋体" w:hAnsi="宋体" w:eastAsia="宋体" w:cs="Times New Roman"/>
                <w:color w:val="auto"/>
                <w:sz w:val="21"/>
                <w:szCs w:val="21"/>
                <w:highlight w:val="none"/>
              </w:rPr>
              <w:t>厂家</w:t>
            </w:r>
            <w:r>
              <w:rPr>
                <w:rFonts w:hint="eastAsia" w:ascii="宋体" w:hAnsi="宋体" w:eastAsia="宋体" w:cs="Times New Roman"/>
                <w:color w:val="auto"/>
                <w:sz w:val="21"/>
                <w:szCs w:val="21"/>
                <w:highlight w:val="none"/>
                <w:lang w:eastAsia="zh-CN"/>
              </w:rPr>
              <w:t>对本项目的</w:t>
            </w:r>
            <w:r>
              <w:rPr>
                <w:rFonts w:hint="eastAsia" w:ascii="宋体" w:hAnsi="宋体" w:eastAsia="宋体" w:cs="Times New Roman"/>
                <w:color w:val="auto"/>
                <w:sz w:val="21"/>
                <w:szCs w:val="21"/>
                <w:highlight w:val="none"/>
              </w:rPr>
              <w:t>售后服务承诺</w:t>
            </w:r>
            <w:r>
              <w:rPr>
                <w:rFonts w:hint="eastAsia" w:ascii="宋体" w:hAnsi="宋体" w:eastAsia="宋体" w:cs="Times New Roman"/>
                <w:color w:val="auto"/>
                <w:sz w:val="21"/>
                <w:szCs w:val="21"/>
                <w:highlight w:val="none"/>
                <w:lang w:eastAsia="zh-CN"/>
              </w:rPr>
              <w:t>的，得</w:t>
            </w:r>
            <w:r>
              <w:rPr>
                <w:rFonts w:hint="eastAsia" w:ascii="宋体" w:hAnsi="宋体" w:eastAsia="宋体" w:cs="Times New Roman"/>
                <w:color w:val="auto"/>
                <w:sz w:val="21"/>
                <w:szCs w:val="21"/>
                <w:highlight w:val="none"/>
                <w:lang w:val="en-US" w:eastAsia="zh-CN"/>
              </w:rPr>
              <w:t>4分，以该文件原件为准</w:t>
            </w:r>
          </w:p>
          <w:p>
            <w:pPr>
              <w:spacing w:line="276" w:lineRule="auto"/>
              <w:ind w:firstLine="399" w:firstLineChars="19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4、</w:t>
            </w:r>
            <w:r>
              <w:rPr>
                <w:rFonts w:hint="eastAsia" w:ascii="宋体" w:hAnsi="宋体"/>
                <w:color w:val="auto"/>
                <w:sz w:val="21"/>
                <w:szCs w:val="21"/>
                <w:lang w:eastAsia="zh-CN"/>
              </w:rPr>
              <w:t>数据生成软件</w:t>
            </w:r>
            <w:r>
              <w:rPr>
                <w:rFonts w:hint="eastAsia" w:ascii="宋体" w:hAnsi="宋体" w:eastAsia="宋体" w:cs="Times New Roman"/>
                <w:color w:val="auto"/>
                <w:sz w:val="21"/>
                <w:szCs w:val="21"/>
              </w:rPr>
              <w:t>具有FDA/CE认证</w:t>
            </w:r>
            <w:r>
              <w:rPr>
                <w:rFonts w:hint="eastAsia" w:ascii="宋体" w:hAnsi="宋体" w:eastAsia="宋体" w:cs="Times New Roman"/>
                <w:color w:val="auto"/>
                <w:sz w:val="21"/>
                <w:szCs w:val="21"/>
                <w:lang w:eastAsia="zh-CN"/>
              </w:rPr>
              <w:t>，有</w:t>
            </w:r>
            <w:r>
              <w:rPr>
                <w:rFonts w:hint="eastAsia" w:ascii="宋体" w:hAnsi="宋体" w:eastAsia="宋体" w:cs="Times New Roman"/>
                <w:color w:val="auto"/>
                <w:sz w:val="21"/>
                <w:szCs w:val="21"/>
                <w:lang w:val="en-US" w:eastAsia="zh-CN"/>
              </w:rPr>
              <w:t>得3分，没有的得0分</w:t>
            </w:r>
          </w:p>
          <w:p>
            <w:pPr>
              <w:spacing w:line="276" w:lineRule="auto"/>
              <w:ind w:firstLine="399" w:firstLineChars="190"/>
              <w:rPr>
                <w:rFonts w:hint="eastAsia" w:ascii="宋体" w:hAnsi="宋体"/>
                <w:color w:val="auto"/>
                <w:sz w:val="21"/>
                <w:szCs w:val="21"/>
              </w:rPr>
            </w:pPr>
            <w:r>
              <w:rPr>
                <w:rFonts w:hint="eastAsia" w:ascii="宋体" w:hAnsi="宋体" w:eastAsia="宋体" w:cs="Times New Roman"/>
                <w:color w:val="auto"/>
                <w:sz w:val="21"/>
                <w:szCs w:val="21"/>
                <w:lang w:val="en-US" w:eastAsia="zh-CN"/>
              </w:rPr>
              <w:t>5、</w:t>
            </w:r>
            <w:r>
              <w:rPr>
                <w:rFonts w:hint="eastAsia" w:ascii="宋体" w:hAnsi="宋体"/>
                <w:color w:val="auto"/>
                <w:sz w:val="21"/>
                <w:szCs w:val="21"/>
                <w:lang w:eastAsia="zh-CN"/>
              </w:rPr>
              <w:t>数据生成软件</w:t>
            </w:r>
            <w:r>
              <w:rPr>
                <w:rFonts w:hint="eastAsia" w:ascii="宋体" w:hAnsi="宋体" w:eastAsia="宋体" w:cs="Times New Roman"/>
                <w:color w:val="auto"/>
                <w:sz w:val="21"/>
                <w:szCs w:val="21"/>
              </w:rPr>
              <w:t>具备（医学影像）影像处理分析模块（提供产品CFDA医疗器械注册证）</w:t>
            </w:r>
            <w:r>
              <w:rPr>
                <w:rFonts w:hint="eastAsia" w:ascii="宋体" w:hAnsi="宋体" w:eastAsia="宋体" w:cs="Times New Roman"/>
                <w:color w:val="auto"/>
                <w:sz w:val="21"/>
                <w:szCs w:val="21"/>
                <w:lang w:eastAsia="zh-CN"/>
              </w:rPr>
              <w:t>，有得</w:t>
            </w:r>
            <w:r>
              <w:rPr>
                <w:rFonts w:hint="eastAsia" w:ascii="宋体" w:hAnsi="宋体" w:eastAsia="宋体" w:cs="Times New Roman"/>
                <w:color w:val="auto"/>
                <w:sz w:val="21"/>
                <w:szCs w:val="21"/>
                <w:lang w:val="en-US" w:eastAsia="zh-CN"/>
              </w:rPr>
              <w:t>2分，没有的得0分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135" w:type="dxa"/>
            <w:vMerge w:val="continue"/>
            <w:noWrap w:val="0"/>
            <w:vAlign w:val="center"/>
          </w:tcPr>
          <w:p>
            <w:pPr>
              <w:spacing w:line="276" w:lineRule="auto"/>
              <w:ind w:firstLine="399" w:firstLineChars="190"/>
              <w:rPr>
                <w:color w:val="auto"/>
                <w:sz w:val="21"/>
                <w:szCs w:val="21"/>
              </w:rPr>
            </w:pPr>
          </w:p>
        </w:tc>
        <w:tc>
          <w:tcPr>
            <w:tcW w:w="1067" w:type="dxa"/>
            <w:noWrap w:val="0"/>
            <w:vAlign w:val="center"/>
          </w:tcPr>
          <w:p>
            <w:pPr>
              <w:jc w:val="center"/>
              <w:rPr>
                <w:rFonts w:hint="eastAsia" w:ascii="方正仿宋_GBK" w:hAnsi="宋体" w:eastAsia="方正仿宋_GBK"/>
                <w:color w:val="auto"/>
                <w:sz w:val="21"/>
                <w:szCs w:val="21"/>
              </w:rPr>
            </w:pPr>
            <w:r>
              <w:rPr>
                <w:rFonts w:hint="eastAsia" w:ascii="方正仿宋_GBK" w:hAnsi="宋体" w:eastAsia="方正仿宋_GBK"/>
                <w:color w:val="auto"/>
                <w:sz w:val="21"/>
                <w:szCs w:val="21"/>
              </w:rPr>
              <w:t>技术参数满足度</w:t>
            </w:r>
          </w:p>
          <w:p>
            <w:pPr>
              <w:jc w:val="center"/>
              <w:rPr>
                <w:rFonts w:hint="eastAsia" w:ascii="宋体" w:hAnsi="宋体"/>
                <w:color w:val="auto"/>
                <w:sz w:val="21"/>
                <w:szCs w:val="21"/>
              </w:rPr>
            </w:pPr>
            <w:r>
              <w:rPr>
                <w:rFonts w:hint="eastAsia" w:ascii="方正仿宋_GBK" w:hAnsi="宋体" w:eastAsia="方正仿宋_GBK"/>
                <w:color w:val="auto"/>
                <w:sz w:val="21"/>
                <w:szCs w:val="21"/>
              </w:rPr>
              <w:t>（</w:t>
            </w:r>
            <w:r>
              <w:rPr>
                <w:rFonts w:hint="eastAsia" w:ascii="方正仿宋_GBK" w:hAnsi="宋体" w:eastAsia="方正仿宋_GBK"/>
                <w:color w:val="auto"/>
                <w:sz w:val="21"/>
                <w:szCs w:val="21"/>
                <w:lang w:val="en-US" w:eastAsia="zh-CN"/>
              </w:rPr>
              <w:t>20</w:t>
            </w:r>
            <w:r>
              <w:rPr>
                <w:rFonts w:hint="eastAsia" w:ascii="方正仿宋_GBK" w:hAnsi="宋体" w:eastAsia="方正仿宋_GBK"/>
                <w:color w:val="auto"/>
                <w:sz w:val="21"/>
                <w:szCs w:val="21"/>
              </w:rPr>
              <w:t>）</w:t>
            </w:r>
          </w:p>
        </w:tc>
        <w:tc>
          <w:tcPr>
            <w:tcW w:w="6679" w:type="dxa"/>
            <w:noWrap w:val="0"/>
            <w:vAlign w:val="center"/>
          </w:tcPr>
          <w:p>
            <w:pPr>
              <w:spacing w:line="276" w:lineRule="auto"/>
              <w:ind w:firstLine="399" w:firstLineChars="190"/>
              <w:rPr>
                <w:rFonts w:hint="eastAsia" w:ascii="宋体" w:hAnsi="宋体"/>
                <w:color w:val="auto"/>
                <w:sz w:val="21"/>
                <w:szCs w:val="21"/>
                <w:lang w:val="zh-CN"/>
              </w:rPr>
            </w:pPr>
            <w:r>
              <w:rPr>
                <w:rFonts w:hint="eastAsia" w:ascii="宋体" w:hAnsi="宋体"/>
                <w:color w:val="auto"/>
                <w:sz w:val="21"/>
                <w:szCs w:val="21"/>
                <w:lang w:val="zh-CN"/>
              </w:rPr>
              <w:t>1、一般性技术参数（非★号标注的部分）达不到招标文件要求的,每负偏离一条扣</w:t>
            </w:r>
            <w:r>
              <w:rPr>
                <w:rFonts w:hint="eastAsia" w:ascii="宋体" w:hAnsi="宋体"/>
                <w:color w:val="auto"/>
                <w:sz w:val="21"/>
                <w:szCs w:val="21"/>
              </w:rPr>
              <w:t>1</w:t>
            </w:r>
            <w:r>
              <w:rPr>
                <w:rFonts w:hint="eastAsia" w:ascii="宋体" w:hAnsi="宋体"/>
                <w:color w:val="auto"/>
                <w:sz w:val="21"/>
                <w:szCs w:val="21"/>
                <w:lang w:val="zh-CN"/>
              </w:rPr>
              <w:t>分，扣完为止；</w:t>
            </w:r>
          </w:p>
          <w:p>
            <w:pPr>
              <w:spacing w:line="276" w:lineRule="auto"/>
              <w:ind w:firstLine="399" w:firstLineChars="190"/>
              <w:rPr>
                <w:rFonts w:hint="eastAsia" w:ascii="宋体" w:hAnsi="宋体"/>
                <w:color w:val="auto"/>
                <w:sz w:val="21"/>
                <w:szCs w:val="21"/>
              </w:rPr>
            </w:pPr>
            <w:r>
              <w:rPr>
                <w:rFonts w:hint="eastAsia" w:ascii="宋体" w:hAnsi="宋体"/>
                <w:color w:val="auto"/>
                <w:sz w:val="21"/>
                <w:szCs w:val="21"/>
                <w:lang w:val="zh-CN"/>
              </w:rPr>
              <w:t>2、</w:t>
            </w:r>
            <w:r>
              <w:rPr>
                <w:rFonts w:hint="eastAsia" w:ascii="宋体" w:hAnsi="宋体"/>
                <w:color w:val="auto"/>
                <w:sz w:val="21"/>
                <w:szCs w:val="21"/>
              </w:rPr>
              <w:t>带有★的项为基本要求，每项不能满足扣5分，直到扣完</w:t>
            </w:r>
            <w:r>
              <w:rPr>
                <w:rFonts w:hint="eastAsia" w:ascii="宋体" w:hAnsi="宋体"/>
                <w:color w:val="auto"/>
                <w:sz w:val="21"/>
                <w:szCs w:val="21"/>
                <w:lang w:eastAsia="zh-CN"/>
              </w:rPr>
              <w:t>本项总分（</w:t>
            </w:r>
            <w:r>
              <w:rPr>
                <w:rFonts w:hint="eastAsia" w:ascii="宋体" w:hAnsi="宋体"/>
                <w:color w:val="auto"/>
                <w:sz w:val="21"/>
                <w:szCs w:val="21"/>
                <w:lang w:val="en-US" w:eastAsia="zh-CN"/>
              </w:rPr>
              <w:t>20</w:t>
            </w:r>
            <w:r>
              <w:rPr>
                <w:rFonts w:hint="eastAsia" w:ascii="宋体" w:hAnsi="宋体"/>
                <w:color w:val="auto"/>
                <w:sz w:val="21"/>
                <w:szCs w:val="21"/>
              </w:rPr>
              <w:t>分</w:t>
            </w:r>
            <w:r>
              <w:rPr>
                <w:rFonts w:hint="eastAsia" w:ascii="宋体" w:hAnsi="宋体"/>
                <w:color w:val="auto"/>
                <w:sz w:val="21"/>
                <w:szCs w:val="21"/>
                <w:lang w:eastAsia="zh-CN"/>
              </w:rPr>
              <w:t>）</w:t>
            </w:r>
            <w:r>
              <w:rPr>
                <w:rFonts w:hint="eastAsia" w:ascii="宋体" w:hAnsi="宋体"/>
                <w:color w:val="auto"/>
                <w:sz w:val="21"/>
                <w:szCs w:val="21"/>
              </w:rPr>
              <w:t>为止。</w:t>
            </w:r>
          </w:p>
          <w:p>
            <w:pPr>
              <w:spacing w:line="276" w:lineRule="auto"/>
              <w:ind w:firstLine="399" w:firstLineChars="190"/>
              <w:rPr>
                <w:rFonts w:hint="eastAsia" w:ascii="Times New Roman" w:hAnsi="Times New Roman" w:eastAsia="宋体" w:cs="Times New Roman"/>
                <w:color w:val="auto"/>
                <w:sz w:val="21"/>
                <w:szCs w:val="21"/>
              </w:rPr>
            </w:pPr>
            <w:r>
              <w:rPr>
                <w:rFonts w:hint="eastAsia" w:ascii="宋体" w:hAnsi="宋体"/>
                <w:color w:val="auto"/>
                <w:sz w:val="21"/>
                <w:szCs w:val="21"/>
              </w:rPr>
              <w:t>注：加★号的技术参数，以</w:t>
            </w:r>
            <w:r>
              <w:rPr>
                <w:rFonts w:hint="eastAsia" w:ascii="宋体" w:hAnsi="宋体"/>
                <w:color w:val="auto"/>
                <w:sz w:val="21"/>
                <w:szCs w:val="21"/>
                <w:lang w:eastAsia="zh-CN"/>
              </w:rPr>
              <w:t>软件</w:t>
            </w:r>
            <w:r>
              <w:rPr>
                <w:rFonts w:hint="eastAsia" w:ascii="宋体" w:hAnsi="宋体"/>
                <w:color w:val="auto"/>
                <w:sz w:val="21"/>
                <w:szCs w:val="21"/>
              </w:rPr>
              <w:t>截图</w:t>
            </w:r>
            <w:r>
              <w:rPr>
                <w:rFonts w:hint="eastAsia" w:ascii="宋体" w:hAnsi="宋体"/>
                <w:color w:val="auto"/>
                <w:sz w:val="21"/>
                <w:szCs w:val="21"/>
                <w:lang w:eastAsia="zh-CN"/>
              </w:rPr>
              <w:t>或现场演示</w:t>
            </w:r>
            <w:r>
              <w:rPr>
                <w:rFonts w:hint="eastAsia" w:ascii="宋体" w:hAnsi="宋体"/>
                <w:color w:val="auto"/>
                <w:sz w:val="21"/>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35" w:type="dxa"/>
            <w:vMerge w:val="continue"/>
            <w:noWrap w:val="0"/>
            <w:vAlign w:val="center"/>
          </w:tcPr>
          <w:p>
            <w:pPr>
              <w:spacing w:line="276" w:lineRule="auto"/>
              <w:rPr>
                <w:rFonts w:hint="eastAsia" w:ascii="宋体" w:hAnsi="宋体"/>
                <w:color w:val="auto"/>
                <w:sz w:val="21"/>
                <w:szCs w:val="21"/>
              </w:rPr>
            </w:pPr>
          </w:p>
        </w:tc>
        <w:tc>
          <w:tcPr>
            <w:tcW w:w="1067" w:type="dxa"/>
            <w:noWrap w:val="0"/>
            <w:vAlign w:val="center"/>
          </w:tcPr>
          <w:p>
            <w:pPr>
              <w:spacing w:line="276" w:lineRule="auto"/>
              <w:ind w:left="0" w:leftChars="0" w:firstLine="0" w:firstLineChars="0"/>
              <w:jc w:val="center"/>
              <w:rPr>
                <w:rFonts w:hint="eastAsia" w:ascii="宋体" w:hAnsi="宋体"/>
                <w:color w:val="auto"/>
                <w:sz w:val="21"/>
                <w:szCs w:val="21"/>
              </w:rPr>
            </w:pPr>
            <w:r>
              <w:rPr>
                <w:rFonts w:hint="eastAsia" w:ascii="宋体" w:hAnsi="宋体" w:eastAsia="宋体" w:cs="Times New Roman"/>
                <w:color w:val="auto"/>
                <w:sz w:val="21"/>
                <w:szCs w:val="21"/>
                <w:lang w:eastAsia="zh-CN"/>
              </w:rPr>
              <w:t>三维重建现场演示及服务方案介绍（</w:t>
            </w:r>
            <w:r>
              <w:rPr>
                <w:rFonts w:hint="eastAsia" w:ascii="宋体" w:hAnsi="宋体" w:eastAsia="宋体" w:cs="Times New Roman"/>
                <w:color w:val="auto"/>
                <w:sz w:val="21"/>
                <w:szCs w:val="21"/>
                <w:lang w:val="en-US" w:eastAsia="zh-CN"/>
              </w:rPr>
              <w:t>25</w:t>
            </w:r>
            <w:r>
              <w:rPr>
                <w:rFonts w:hint="eastAsia" w:ascii="宋体" w:hAnsi="宋体" w:eastAsia="宋体" w:cs="Times New Roman"/>
                <w:color w:val="auto"/>
                <w:sz w:val="21"/>
                <w:szCs w:val="21"/>
                <w:lang w:eastAsia="zh-CN"/>
              </w:rPr>
              <w:t>）</w:t>
            </w:r>
          </w:p>
        </w:tc>
        <w:tc>
          <w:tcPr>
            <w:tcW w:w="6679" w:type="dxa"/>
            <w:noWrap w:val="0"/>
            <w:vAlign w:val="center"/>
          </w:tcPr>
          <w:p>
            <w:pPr>
              <w:spacing w:line="276" w:lineRule="auto"/>
              <w:ind w:firstLine="399" w:firstLineChars="190"/>
              <w:rPr>
                <w:rFonts w:hint="eastAsia" w:ascii="宋体" w:hAnsi="宋体" w:eastAsia="宋体" w:cs="Times New Roman"/>
                <w:color w:val="auto"/>
                <w:sz w:val="21"/>
                <w:szCs w:val="21"/>
                <w:lang w:val="zh-CN" w:eastAsia="zh-CN"/>
              </w:rPr>
            </w:pPr>
            <w:r>
              <w:rPr>
                <w:rFonts w:hint="eastAsia" w:ascii="宋体" w:hAnsi="宋体" w:eastAsia="宋体" w:cs="Times New Roman"/>
                <w:color w:val="auto"/>
                <w:sz w:val="21"/>
                <w:szCs w:val="21"/>
                <w:lang w:val="zh-CN" w:eastAsia="zh-CN"/>
              </w:rPr>
              <w:t>提供医学影像三维重建服务方案，并对方案进行详细介绍，并使用厂家授权软件进行现场演示，展示三维重建过程。</w:t>
            </w:r>
          </w:p>
          <w:p>
            <w:pPr>
              <w:spacing w:line="276" w:lineRule="auto"/>
              <w:ind w:firstLine="399" w:firstLineChars="190"/>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1.</w:t>
            </w:r>
            <w:r>
              <w:rPr>
                <w:rFonts w:hint="eastAsia" w:ascii="宋体" w:hAnsi="宋体" w:eastAsia="宋体" w:cs="Times New Roman"/>
                <w:color w:val="auto"/>
                <w:sz w:val="21"/>
                <w:szCs w:val="21"/>
                <w:lang w:val="zh-CN" w:eastAsia="zh-CN"/>
              </w:rPr>
              <w:t>按照方案合理性进行评分，最佳得</w:t>
            </w:r>
            <w:r>
              <w:rPr>
                <w:rFonts w:hint="eastAsia" w:ascii="宋体" w:hAnsi="宋体" w:eastAsia="宋体" w:cs="Times New Roman"/>
                <w:color w:val="auto"/>
                <w:sz w:val="21"/>
                <w:szCs w:val="21"/>
                <w:lang w:val="en-US" w:eastAsia="zh-CN"/>
              </w:rPr>
              <w:t>6-7分，合理得3-5，一般得1-2分，不提供的得0分。</w:t>
            </w:r>
          </w:p>
          <w:p>
            <w:pPr>
              <w:spacing w:line="276" w:lineRule="auto"/>
              <w:ind w:firstLine="399" w:firstLineChars="19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2.现场演示：按以下项目进行评分，每小项3分，现场演示最高得18分：</w:t>
            </w:r>
          </w:p>
          <w:p>
            <w:pPr>
              <w:spacing w:line="276" w:lineRule="auto"/>
              <w:ind w:firstLine="399" w:firstLineChars="19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1)软件可以交互式的读取DICOM 格式的CT/MRI/Micro CT/ 3D ultrasound/Micro MRI/CT断层扫描图像和非DICOM的普通图像格式BMP/JPG/TIFF/RAW等断层扫描图像，并可自动识别图像内置信息。</w:t>
            </w:r>
          </w:p>
          <w:p>
            <w:pPr>
              <w:spacing w:line="276" w:lineRule="auto"/>
              <w:ind w:firstLine="399" w:firstLineChars="19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2)软件采用Windows风格的标准用户界面，便于使用，学习周期短。</w:t>
            </w:r>
          </w:p>
          <w:p>
            <w:pPr>
              <w:spacing w:line="276" w:lineRule="auto"/>
              <w:ind w:firstLine="399" w:firstLineChars="19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3)软件提供分割和编辑工具操作图像数据来选择骨组织、软组织、皮肤等感兴趣的区域（ROI）</w:t>
            </w:r>
          </w:p>
          <w:p>
            <w:pPr>
              <w:spacing w:line="276" w:lineRule="auto"/>
              <w:ind w:firstLine="399" w:firstLineChars="19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4)CT Bone工具提供了一个方便的操作界面，方便地将多块骨头一次性分割。该工具的输出是多个蒙板，用户可以定义的阈值，并且可以选择是只分割皮质骨或者全部分割。</w:t>
            </w:r>
          </w:p>
          <w:p>
            <w:pPr>
              <w:spacing w:line="276" w:lineRule="auto"/>
              <w:ind w:firstLine="399" w:firstLineChars="19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5)标记区域的后续处理工具包括光滑标记区域、扩展标记、收缩标记和反选标记。</w:t>
            </w:r>
          </w:p>
          <w:p>
            <w:pPr>
              <w:spacing w:line="276" w:lineRule="auto"/>
              <w:ind w:firstLine="399" w:firstLineChars="190"/>
              <w:rPr>
                <w:rFonts w:hint="default"/>
                <w:color w:val="auto"/>
                <w:lang w:val="en-US" w:eastAsia="zh-CN"/>
              </w:rPr>
            </w:pPr>
            <w:r>
              <w:rPr>
                <w:rFonts w:hint="eastAsia" w:ascii="宋体" w:hAnsi="宋体" w:eastAsia="宋体" w:cs="Times New Roman"/>
                <w:color w:val="auto"/>
                <w:sz w:val="21"/>
                <w:szCs w:val="21"/>
                <w:lang w:val="en-US" w:eastAsia="zh-CN"/>
              </w:rPr>
              <w:t>6)软件支持肺部平扫数据进行重建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35" w:type="dxa"/>
            <w:vMerge w:val="continue"/>
            <w:noWrap w:val="0"/>
            <w:vAlign w:val="center"/>
          </w:tcPr>
          <w:p>
            <w:pPr>
              <w:spacing w:line="276" w:lineRule="auto"/>
              <w:rPr>
                <w:rFonts w:hint="eastAsia" w:ascii="宋体" w:hAnsi="宋体"/>
                <w:color w:val="auto"/>
                <w:sz w:val="21"/>
                <w:szCs w:val="21"/>
              </w:rPr>
            </w:pPr>
          </w:p>
        </w:tc>
        <w:tc>
          <w:tcPr>
            <w:tcW w:w="1067" w:type="dxa"/>
            <w:noWrap w:val="0"/>
            <w:vAlign w:val="center"/>
          </w:tcPr>
          <w:p>
            <w:pPr>
              <w:spacing w:line="276" w:lineRule="auto"/>
              <w:ind w:left="0" w:leftChars="0" w:firstLine="0" w:firstLineChars="0"/>
              <w:jc w:val="center"/>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rPr>
              <w:t>项目服团队（5</w:t>
            </w:r>
            <w:r>
              <w:rPr>
                <w:rFonts w:hint="eastAsia" w:ascii="宋体" w:hAnsi="宋体" w:eastAsia="宋体" w:cs="Times New Roman"/>
                <w:color w:val="auto"/>
                <w:sz w:val="21"/>
                <w:szCs w:val="21"/>
                <w:lang w:eastAsia="zh-CN"/>
              </w:rPr>
              <w:t>）</w:t>
            </w:r>
          </w:p>
        </w:tc>
        <w:tc>
          <w:tcPr>
            <w:tcW w:w="6679" w:type="dxa"/>
            <w:noWrap w:val="0"/>
            <w:vAlign w:val="center"/>
          </w:tcPr>
          <w:p>
            <w:pPr>
              <w:spacing w:line="276" w:lineRule="auto"/>
              <w:ind w:firstLine="399" w:firstLineChars="190"/>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rPr>
              <w:t>项目团队专业配置齐全、合理、架构清晰，具有相关工作经验得</w:t>
            </w: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5分；项目团队专业配置较为齐全，具有相关工作经验得</w:t>
            </w: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rPr>
              <w:t>3分；项目团队专业配置不够齐全，参与人员相关工作经验</w:t>
            </w:r>
            <w:r>
              <w:rPr>
                <w:rFonts w:hint="eastAsia" w:ascii="宋体" w:hAnsi="宋体" w:eastAsia="宋体" w:cs="Times New Roman"/>
                <w:color w:val="auto"/>
                <w:sz w:val="21"/>
                <w:szCs w:val="21"/>
                <w:lang w:eastAsia="zh-CN"/>
              </w:rPr>
              <w:t>不足</w:t>
            </w:r>
            <w:r>
              <w:rPr>
                <w:rFonts w:hint="eastAsia" w:ascii="宋体" w:hAnsi="宋体" w:eastAsia="宋体" w:cs="Times New Roman"/>
                <w:color w:val="auto"/>
                <w:sz w:val="21"/>
                <w:szCs w:val="21"/>
              </w:rPr>
              <w:t>得</w:t>
            </w:r>
            <w:r>
              <w:rPr>
                <w:rFonts w:hint="eastAsia" w:ascii="宋体" w:hAnsi="宋体" w:eastAsia="宋体" w:cs="Times New Roman"/>
                <w:color w:val="auto"/>
                <w:sz w:val="21"/>
                <w:szCs w:val="21"/>
                <w:lang w:val="en-US" w:eastAsia="zh-CN"/>
              </w:rPr>
              <w:t>0-</w:t>
            </w:r>
            <w:r>
              <w:rPr>
                <w:rFonts w:hint="eastAsia" w:ascii="宋体" w:hAnsi="宋体" w:eastAsia="宋体" w:cs="Times New Roman"/>
                <w:color w:val="auto"/>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35" w:type="dxa"/>
            <w:vMerge w:val="continue"/>
            <w:noWrap w:val="0"/>
            <w:vAlign w:val="center"/>
          </w:tcPr>
          <w:p>
            <w:pPr>
              <w:spacing w:line="276" w:lineRule="auto"/>
              <w:rPr>
                <w:rFonts w:hint="eastAsia" w:ascii="宋体" w:hAnsi="宋体"/>
                <w:color w:val="auto"/>
                <w:sz w:val="21"/>
                <w:szCs w:val="21"/>
              </w:rPr>
            </w:pPr>
          </w:p>
        </w:tc>
        <w:tc>
          <w:tcPr>
            <w:tcW w:w="1067" w:type="dxa"/>
            <w:noWrap w:val="0"/>
            <w:vAlign w:val="center"/>
          </w:tcPr>
          <w:p>
            <w:pPr>
              <w:spacing w:line="276" w:lineRule="auto"/>
              <w:ind w:left="0" w:leftChars="0" w:firstLine="0" w:firstLineChars="0"/>
              <w:jc w:val="center"/>
              <w:rPr>
                <w:rFonts w:hint="eastAsia" w:ascii="宋体" w:hAnsi="宋体" w:eastAsia="宋体" w:cs="Times New Roman"/>
                <w:color w:val="auto"/>
                <w:sz w:val="21"/>
                <w:szCs w:val="21"/>
                <w:lang w:eastAsia="zh-CN"/>
              </w:rPr>
            </w:pPr>
            <w:r>
              <w:rPr>
                <w:rFonts w:hint="eastAsia" w:ascii="宋体" w:hAnsi="宋体" w:eastAsia="宋体" w:cs="宋体"/>
                <w:color w:val="auto"/>
                <w:kern w:val="0"/>
                <w:sz w:val="21"/>
                <w:szCs w:val="21"/>
                <w:lang w:eastAsia="zh-CN"/>
              </w:rPr>
              <w:t>培训</w:t>
            </w:r>
            <w:r>
              <w:rPr>
                <w:rFonts w:hint="eastAsia" w:ascii="宋体" w:hAnsi="宋体" w:eastAsia="宋体" w:cs="宋体"/>
                <w:b w:val="0"/>
                <w:color w:val="auto"/>
                <w:kern w:val="0"/>
                <w:sz w:val="21"/>
                <w:szCs w:val="21"/>
              </w:rPr>
              <w:t>（</w:t>
            </w:r>
            <w:r>
              <w:rPr>
                <w:rFonts w:hint="eastAsia" w:ascii="宋体" w:hAnsi="宋体" w:eastAsia="宋体" w:cs="宋体"/>
                <w:b w:val="0"/>
                <w:color w:val="auto"/>
                <w:kern w:val="0"/>
                <w:sz w:val="21"/>
                <w:szCs w:val="21"/>
                <w:lang w:val="en-US" w:eastAsia="zh-CN"/>
              </w:rPr>
              <w:t>5</w:t>
            </w:r>
            <w:r>
              <w:rPr>
                <w:rFonts w:hint="eastAsia" w:ascii="宋体" w:hAnsi="宋体" w:eastAsia="宋体" w:cs="宋体"/>
                <w:b w:val="0"/>
                <w:color w:val="auto"/>
                <w:kern w:val="0"/>
                <w:sz w:val="21"/>
                <w:szCs w:val="21"/>
              </w:rPr>
              <w:t>）</w:t>
            </w:r>
          </w:p>
        </w:tc>
        <w:tc>
          <w:tcPr>
            <w:tcW w:w="6679" w:type="dxa"/>
            <w:noWrap w:val="0"/>
            <w:vAlign w:val="center"/>
          </w:tcPr>
          <w:p>
            <w:pPr>
              <w:spacing w:line="276" w:lineRule="auto"/>
              <w:ind w:firstLine="399" w:firstLineChars="190"/>
              <w:rPr>
                <w:rFonts w:hint="eastAsia" w:ascii="宋体" w:hAnsi="宋体" w:eastAsia="宋体" w:cs="Times New Roman"/>
                <w:color w:val="auto"/>
                <w:sz w:val="21"/>
                <w:szCs w:val="21"/>
              </w:rPr>
            </w:pPr>
            <w:r>
              <w:rPr>
                <w:rFonts w:hint="eastAsia" w:ascii="宋体" w:hAnsi="宋体" w:eastAsia="宋体" w:cs="宋体"/>
                <w:color w:val="auto"/>
                <w:kern w:val="0"/>
                <w:sz w:val="21"/>
                <w:szCs w:val="21"/>
                <w:lang w:eastAsia="zh-CN"/>
              </w:rPr>
              <w:t>根据投标文件中提供的培训方案进行评分，最优的得</w:t>
            </w:r>
            <w:r>
              <w:rPr>
                <w:rFonts w:hint="eastAsia" w:ascii="宋体" w:hAnsi="宋体" w:eastAsia="宋体" w:cs="宋体"/>
                <w:color w:val="auto"/>
                <w:kern w:val="0"/>
                <w:sz w:val="21"/>
                <w:szCs w:val="21"/>
                <w:lang w:val="en-US" w:eastAsia="zh-CN"/>
              </w:rPr>
              <w:t>4-5分，一般的得2-3分，其余的得0-1分。</w:t>
            </w:r>
          </w:p>
        </w:tc>
      </w:tr>
    </w:tbl>
    <w:p>
      <w:pPr>
        <w:snapToGrid w:val="0"/>
        <w:spacing w:line="276" w:lineRule="auto"/>
        <w:ind w:firstLine="465"/>
        <w:rPr>
          <w:rFonts w:hint="eastAsia" w:ascii="宋体" w:hAnsi="宋体"/>
          <w:color w:val="auto"/>
          <w:sz w:val="24"/>
          <w:szCs w:val="24"/>
        </w:rPr>
      </w:pPr>
      <w:bookmarkStart w:id="36" w:name="_Toc441065676"/>
      <w:r>
        <w:rPr>
          <w:rFonts w:hint="eastAsia" w:ascii="宋体" w:hAnsi="宋体"/>
          <w:color w:val="auto"/>
          <w:sz w:val="24"/>
          <w:szCs w:val="24"/>
        </w:rPr>
        <w:t>说明：评标小组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snapToGrid w:val="0"/>
        <w:spacing w:line="276" w:lineRule="auto"/>
        <w:ind w:firstLine="480" w:firstLineChars="200"/>
        <w:rPr>
          <w:rFonts w:hint="eastAsia" w:ascii="宋体" w:hAnsi="宋体"/>
          <w:color w:val="auto"/>
          <w:sz w:val="24"/>
          <w:szCs w:val="24"/>
        </w:rPr>
      </w:pP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（二）报价政策性扣减</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1、关于小微企业：</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按&lt;关于印发《政府采购促进中小企业发展暂行办法》的通知&gt;（财库〔2011〕181号）之规定，中小企业的标准为：</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1.1提供本企业制造的货物、承担的工程或者服务，或者提供其他中小企业制造的货物，不包括提供或使用大型企业注册商标的货物。</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1.2本规定所称中小企业划分标准按照《工业和信息化部、国家统计局、国家发展和改革委员会、财政部关于印发中小企业划型标准规定的通知》（工信部联企业〔2011〕300号）执行。若投标人认为本企业符合中小企业划分标准，且提供的标的物为本企业制造的货物、承担的工程或服务，须如实填写《中小微企业声明函》。若提供了其他企业制造的货物，且该企业符合《关于印发中小企业划型标准规定的通知》（工信部联企业〔2011〕300号）规定的中小企业划分标准的，还须提供制造商的《中小微企业声明函》原件（涉及多个制造商的，每个制造商均需出具）。中标的小微企业在评审过程中按照政府采购政策享受了报价扣除的，将在结果公告中公告企业类型。</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1.3小型、微型企业提供有中型企业制造的货物的，视同为中型企业；小型、微型、中型企业提供有大型企业制造的货物的，视同为大型企业。</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2、具体投标报价扣除比例说明：</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2.1投标人为非联合体投标的，对小型企业给予6%的扣除，微型企业给予8%的扣除（注册资金十五万及以下的微型企业给予10%的扣除），以扣除后的报价参与评审。</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2.2监狱企业、残疾人福利性单位属于微型企业的，应提供《中小微企业声明函》。未提供以上资料的监狱企业、残疾人福利性单位视同小型企业。</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备注：1、中标的小微企业在评审过程中按照政府采购政策享受了报价扣除的，将在结果公告中公告企业类型。</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2、对于未如实填写《中小微企业声明函》的供应商，一经查实，将按政府采购法律法规进行处理。</w:t>
      </w:r>
    </w:p>
    <w:p>
      <w:pPr>
        <w:rPr>
          <w:rFonts w:ascii="宋体"/>
          <w:color w:val="auto"/>
        </w:rPr>
      </w:pPr>
      <w:r>
        <w:rPr>
          <w:rFonts w:ascii="宋体"/>
          <w:color w:val="auto"/>
        </w:rPr>
        <w:t>三、</w:t>
      </w:r>
      <w:bookmarkEnd w:id="36"/>
      <w:r>
        <w:rPr>
          <w:rFonts w:ascii="宋体"/>
          <w:color w:val="auto"/>
        </w:rPr>
        <w:t>供应商或其响应文件出现下列情况之一者，应为无效：</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（一）供应商未按磋商文件规定提交磋商保证金的；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（二）供应商法定代表人或法人授权代表未按时参加磋商的；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（三）供应商未通过资格性检查或磋商文件未通过符合性检查的；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（四）报价超出招标文件规定的采购预算的（设定最高限价的不得超过最高限价）；</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（五）供应商超出其营业执照或事业单位法人证书上经营范围（业务范围）参与磋商的；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（六）单位负责人为同一人或者存在直接控股、管理关系的不同供应商，参加同一合同项下的政府采购活动；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（七）为采购项目提供整体设计、规范编制或者项目管理、监理、检测等服务的供应商，再参加该采购项目的其他采购活动的；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（八）响应文件未按照磋商文件第六篇磋商文件格式中所规定签字、盖章的；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（九）响应文件出现多个方案或报价的；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（十）响应文件含有采购人不能接受的附加条件的；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（十一）供应商组成联合体参与磋商的（拒绝联合体磋商时适用）；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（十二）供应商串通投标的；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（十三）法律、法规和磋商文件规定的其他无效情形。</w:t>
      </w:r>
    </w:p>
    <w:p>
      <w:pPr>
        <w:rPr>
          <w:rFonts w:hint="eastAsia" w:ascii="宋体"/>
          <w:color w:val="auto"/>
          <w:sz w:val="24"/>
          <w:szCs w:val="24"/>
        </w:rPr>
      </w:pPr>
      <w:bookmarkStart w:id="37" w:name="_Toc441065677"/>
      <w:r>
        <w:rPr>
          <w:rFonts w:hint="eastAsia" w:ascii="宋体"/>
          <w:b/>
          <w:color w:val="auto"/>
          <w:sz w:val="24"/>
          <w:szCs w:val="24"/>
        </w:rPr>
        <w:t>四、</w:t>
      </w:r>
      <w:bookmarkEnd w:id="37"/>
      <w:r>
        <w:rPr>
          <w:rFonts w:hint="eastAsia" w:ascii="宋体"/>
          <w:color w:val="auto"/>
          <w:sz w:val="24"/>
          <w:szCs w:val="24"/>
        </w:rPr>
        <w:t>磋商小组评审时出现以下情况之一的，应当终止竞争性磋商采购活动：</w:t>
      </w:r>
    </w:p>
    <w:p>
      <w:pPr>
        <w:numPr>
          <w:ilvl w:val="0"/>
          <w:numId w:val="20"/>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符合专业条件的供应商或者对磋商文件作实质响应的供应商不足三家的；</w:t>
      </w:r>
    </w:p>
    <w:p>
      <w:pPr>
        <w:numPr>
          <w:ilvl w:val="0"/>
          <w:numId w:val="20"/>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提交最后报价的供应商不足三家的（市场竞争不充分的科研项目，以及需要扶持的科技成果转化项目应为供应商不足二家的）；</w:t>
      </w:r>
    </w:p>
    <w:p>
      <w:pPr>
        <w:numPr>
          <w:ilvl w:val="0"/>
          <w:numId w:val="20"/>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供应商的报价均超过了采购预算（设定最高限价的不得超过最高限价），采购人不能支付的；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（四）出现影响采购公正的违法、违规行为的；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（五）因重大变故，采购任务取消的。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竞争性磋商活动终止后，除采购任务取消情形外，应当重新组织采购。</w:t>
      </w:r>
    </w:p>
    <w:p>
      <w:pPr>
        <w:pStyle w:val="2"/>
        <w:spacing w:before="0" w:beforeLines="0" w:after="0" w:afterLines="0" w:line="276" w:lineRule="auto"/>
        <w:rPr>
          <w:rFonts w:hint="eastAsia" w:ascii="宋体" w:hAnsi="宋体" w:eastAsia="宋体"/>
          <w:color w:val="auto"/>
        </w:rPr>
      </w:pPr>
      <w:r>
        <w:rPr>
          <w:rFonts w:hint="eastAsia" w:ascii="宋体" w:hAnsi="宋体" w:eastAsia="宋体"/>
          <w:color w:val="auto"/>
          <w:sz w:val="28"/>
        </w:rPr>
        <w:br w:type="page"/>
      </w:r>
      <w:bookmarkStart w:id="38" w:name="_Toc17411"/>
      <w:r>
        <w:rPr>
          <w:rFonts w:hint="eastAsia" w:ascii="宋体" w:hAnsi="宋体" w:eastAsia="宋体"/>
          <w:color w:val="auto"/>
        </w:rPr>
        <w:t>第四篇  供应商须知</w:t>
      </w:r>
      <w:bookmarkEnd w:id="38"/>
    </w:p>
    <w:p>
      <w:pPr>
        <w:pStyle w:val="3"/>
        <w:spacing w:line="276" w:lineRule="auto"/>
        <w:ind w:firstLine="482" w:firstLineChars="200"/>
        <w:rPr>
          <w:rFonts w:hint="eastAsia"/>
          <w:b/>
          <w:color w:val="auto"/>
          <w:sz w:val="24"/>
        </w:rPr>
      </w:pPr>
      <w:bookmarkStart w:id="39" w:name="_Toc441065679"/>
      <w:bookmarkStart w:id="40" w:name="_Toc10767"/>
      <w:r>
        <w:rPr>
          <w:rFonts w:hint="eastAsia"/>
          <w:b/>
          <w:color w:val="auto"/>
          <w:sz w:val="24"/>
        </w:rPr>
        <w:t>一、</w:t>
      </w:r>
      <w:bookmarkEnd w:id="39"/>
      <w:r>
        <w:rPr>
          <w:rFonts w:hint="eastAsia"/>
          <w:b/>
          <w:color w:val="auto"/>
          <w:sz w:val="24"/>
        </w:rPr>
        <w:t>供应商</w:t>
      </w:r>
      <w:bookmarkEnd w:id="40"/>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1、合格供应商条件</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合格供应商应完全符合磋商文件第一篇中规定的供应商资格条件，并对磋商文件作出实质性响应。</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2、供应商的风险</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供应商没有按照磋商文件要求提供全部资料，或者供应商没有对磋商文件在各方面作出实质性响应，可能导致拒绝参与磋商或评定为无效。</w:t>
      </w:r>
    </w:p>
    <w:p>
      <w:pPr>
        <w:pStyle w:val="3"/>
        <w:spacing w:line="276" w:lineRule="auto"/>
        <w:ind w:firstLine="482" w:firstLineChars="200"/>
        <w:rPr>
          <w:rFonts w:hint="eastAsia"/>
          <w:b/>
          <w:color w:val="auto"/>
          <w:sz w:val="24"/>
        </w:rPr>
      </w:pPr>
      <w:bookmarkStart w:id="41" w:name="_Toc441065680"/>
      <w:bookmarkStart w:id="42" w:name="_Toc5072"/>
      <w:r>
        <w:rPr>
          <w:rFonts w:hint="eastAsia"/>
          <w:b/>
          <w:color w:val="auto"/>
          <w:sz w:val="24"/>
        </w:rPr>
        <w:t>二、磋商文件</w:t>
      </w:r>
      <w:bookmarkEnd w:id="41"/>
      <w:bookmarkEnd w:id="42"/>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磋商文件是供应商编制响应文件的依据，是磋商小组评判依据和标准。磋商文件也是采购人与成交供应商签订合同的基础。</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（一）磋商文件由竞争性磋商邀请书；项目具体要求；评审程序、评审方法和评审标准；供应商须知；合同主要条款和格式合同样本；响应文件格式等六部分组成。</w:t>
      </w:r>
    </w:p>
    <w:p>
      <w:pPr>
        <w:snapToGrid w:val="0"/>
        <w:spacing w:line="276" w:lineRule="auto"/>
        <w:ind w:firstLine="480"/>
        <w:rPr>
          <w:rFonts w:hint="eastAsia" w:ascii="宋体" w:hAnsi="宋体"/>
          <w:color w:val="auto"/>
          <w:sz w:val="24"/>
        </w:rPr>
      </w:pPr>
      <w:r>
        <w:rPr>
          <w:rFonts w:hint="eastAsia" w:ascii="宋体" w:hAnsi="宋体"/>
          <w:color w:val="auto"/>
          <w:sz w:val="24"/>
          <w:szCs w:val="28"/>
        </w:rPr>
        <w:t>（二）</w:t>
      </w:r>
      <w:r>
        <w:rPr>
          <w:rFonts w:hint="eastAsia" w:ascii="宋体" w:hAnsi="宋体"/>
          <w:color w:val="auto"/>
          <w:sz w:val="24"/>
        </w:rPr>
        <w:t>采购人对磋商文件所作的一切有效的书面通知、修改及补充，都是磋商文件不可分割的部分。</w:t>
      </w:r>
    </w:p>
    <w:p>
      <w:pPr>
        <w:snapToGrid w:val="0"/>
        <w:spacing w:line="276" w:lineRule="auto"/>
        <w:ind w:firstLine="480"/>
        <w:rPr>
          <w:rFonts w:hint="eastAsia" w:ascii="宋体" w:hAnsi="宋体"/>
          <w:color w:val="auto"/>
          <w:sz w:val="24"/>
        </w:rPr>
      </w:pPr>
      <w:r>
        <w:rPr>
          <w:rFonts w:hint="eastAsia" w:ascii="宋体" w:hAnsi="宋体"/>
          <w:color w:val="auto"/>
          <w:sz w:val="24"/>
        </w:rPr>
        <w:t>（三）采购人对磋商文件所作的一切有效的通知、补遗、澄清或修改（以网上公示内容为准），都是磋商文件不可分割的部分。</w:t>
      </w:r>
    </w:p>
    <w:p>
      <w:pPr>
        <w:snapToGrid w:val="0"/>
        <w:spacing w:line="276" w:lineRule="auto"/>
        <w:ind w:firstLine="480"/>
        <w:rPr>
          <w:rFonts w:hint="eastAsia" w:ascii="宋体" w:hAnsi="宋体"/>
          <w:color w:val="auto"/>
          <w:sz w:val="24"/>
        </w:rPr>
      </w:pPr>
      <w:r>
        <w:rPr>
          <w:rFonts w:hint="eastAsia" w:ascii="宋体" w:hAnsi="宋体"/>
          <w:color w:val="auto"/>
          <w:sz w:val="24"/>
        </w:rPr>
        <w:t>（四）本项目所有补遗文件（包含澄清或者修改文件）一律在</w:t>
      </w:r>
      <w:r>
        <w:rPr>
          <w:rFonts w:hint="eastAsia" w:ascii="宋体" w:hAnsi="宋体"/>
          <w:color w:val="auto"/>
          <w:sz w:val="24"/>
          <w:szCs w:val="24"/>
        </w:rPr>
        <w:t>重庆市第九人民医院官网</w:t>
      </w:r>
      <w:r>
        <w:rPr>
          <w:rFonts w:hint="eastAsia" w:ascii="宋体" w:hAnsi="宋体"/>
          <w:color w:val="auto"/>
          <w:sz w:val="24"/>
        </w:rPr>
        <w:t>发布，请各供应商注意下载，</w:t>
      </w:r>
      <w:r>
        <w:rPr>
          <w:rFonts w:hint="eastAsia" w:ascii="宋体" w:hAnsi="宋体"/>
          <w:color w:val="auto"/>
          <w:sz w:val="24"/>
          <w:szCs w:val="24"/>
        </w:rPr>
        <w:t>无论供应商下载与否，均视同供应商已知晓本项目磋商文件、补遗文件的内容</w:t>
      </w:r>
      <w:r>
        <w:rPr>
          <w:rFonts w:hint="eastAsia" w:ascii="宋体" w:hAnsi="宋体"/>
          <w:color w:val="auto"/>
          <w:sz w:val="24"/>
        </w:rPr>
        <w:t>。</w:t>
      </w:r>
    </w:p>
    <w:p>
      <w:pPr>
        <w:pStyle w:val="3"/>
        <w:spacing w:line="276" w:lineRule="auto"/>
        <w:ind w:firstLine="482" w:firstLineChars="200"/>
        <w:rPr>
          <w:rFonts w:hint="eastAsia"/>
          <w:b/>
          <w:color w:val="auto"/>
          <w:sz w:val="24"/>
        </w:rPr>
      </w:pPr>
      <w:bookmarkStart w:id="43" w:name="_Toc441065681"/>
      <w:bookmarkStart w:id="44" w:name="_Toc6163"/>
      <w:r>
        <w:rPr>
          <w:rFonts w:hint="eastAsia"/>
          <w:b/>
          <w:color w:val="auto"/>
          <w:sz w:val="24"/>
        </w:rPr>
        <w:t>三、响应文件</w:t>
      </w:r>
      <w:bookmarkEnd w:id="43"/>
      <w:bookmarkEnd w:id="44"/>
    </w:p>
    <w:p>
      <w:pPr>
        <w:spacing w:line="276" w:lineRule="auto"/>
        <w:ind w:firstLine="480" w:firstLineChars="200"/>
        <w:rPr>
          <w:rFonts w:hint="eastAsia" w:ascii="宋体" w:hAnsi="宋体"/>
          <w:color w:val="auto"/>
          <w:sz w:val="24"/>
        </w:rPr>
      </w:pPr>
      <w:r>
        <w:rPr>
          <w:rFonts w:hint="eastAsia" w:ascii="宋体" w:hAnsi="宋体"/>
          <w:color w:val="auto"/>
          <w:sz w:val="24"/>
        </w:rPr>
        <w:t>供应商应当按照磋商文件的要求编制响应文件，并对磋商文件提出的要求和条件作出实质性响应，响应文件原则上采用软面订本，同时应编制完整的页码、目录。</w:t>
      </w:r>
    </w:p>
    <w:p>
      <w:pPr>
        <w:spacing w:line="276" w:lineRule="auto"/>
        <w:ind w:firstLine="480" w:firstLineChars="200"/>
        <w:rPr>
          <w:rFonts w:hint="eastAsia" w:ascii="宋体" w:hAnsi="宋体"/>
          <w:color w:val="auto"/>
          <w:sz w:val="24"/>
        </w:rPr>
      </w:pPr>
      <w:r>
        <w:rPr>
          <w:rFonts w:hint="eastAsia" w:ascii="宋体" w:hAnsi="宋体"/>
          <w:color w:val="auto"/>
          <w:sz w:val="24"/>
        </w:rPr>
        <w:t>（一）响应文件组成</w:t>
      </w:r>
    </w:p>
    <w:p>
      <w:pPr>
        <w:spacing w:line="276" w:lineRule="auto"/>
        <w:ind w:firstLine="480" w:firstLineChars="200"/>
        <w:rPr>
          <w:rFonts w:hint="eastAsia" w:ascii="宋体" w:hAnsi="宋体"/>
          <w:color w:val="auto"/>
          <w:sz w:val="24"/>
        </w:rPr>
      </w:pPr>
      <w:r>
        <w:rPr>
          <w:rFonts w:hint="eastAsia" w:ascii="宋体" w:hAnsi="宋体"/>
          <w:color w:val="auto"/>
          <w:sz w:val="24"/>
        </w:rPr>
        <w:t>响应文件由第六篇“响应文件格式”规定的部分和供应商所作的一切有效补充、修改和承诺等文件组成，供应商应按照第六篇“响应文件格式”规定的目录顺序组织编写和装订，否则有可能影响磋商小组对响应文件的评审。</w:t>
      </w:r>
    </w:p>
    <w:p>
      <w:pPr>
        <w:spacing w:line="276" w:lineRule="auto"/>
        <w:ind w:firstLine="480" w:firstLineChars="200"/>
        <w:rPr>
          <w:rFonts w:hint="eastAsia" w:ascii="宋体" w:hAnsi="宋体"/>
          <w:color w:val="auto"/>
          <w:sz w:val="24"/>
        </w:rPr>
      </w:pPr>
      <w:r>
        <w:rPr>
          <w:rFonts w:hint="eastAsia" w:ascii="宋体" w:hAnsi="宋体"/>
          <w:color w:val="auto"/>
          <w:sz w:val="24"/>
        </w:rPr>
        <w:t>（二）联合参与磋商</w:t>
      </w:r>
    </w:p>
    <w:p>
      <w:pPr>
        <w:spacing w:line="276" w:lineRule="auto"/>
        <w:ind w:firstLine="482" w:firstLineChars="200"/>
        <w:rPr>
          <w:rFonts w:hint="eastAsia" w:ascii="宋体" w:hAnsi="宋体" w:cs="方正仿宋_GBK"/>
          <w:b/>
          <w:bCs/>
          <w:color w:val="auto"/>
          <w:sz w:val="24"/>
          <w:szCs w:val="24"/>
          <w:u w:val="single"/>
        </w:rPr>
      </w:pPr>
      <w:r>
        <w:rPr>
          <w:rFonts w:hint="eastAsia" w:ascii="宋体" w:hAnsi="宋体" w:cs="方正仿宋_GBK"/>
          <w:b/>
          <w:bCs/>
          <w:color w:val="auto"/>
          <w:sz w:val="24"/>
          <w:szCs w:val="24"/>
          <w:u w:val="single"/>
        </w:rPr>
        <w:t>本项目不支持联合体投标</w:t>
      </w:r>
    </w:p>
    <w:p>
      <w:pPr>
        <w:spacing w:line="276" w:lineRule="auto"/>
        <w:ind w:firstLine="480" w:firstLineChars="200"/>
        <w:rPr>
          <w:rFonts w:hint="eastAsia" w:ascii="宋体" w:hAnsi="宋体"/>
          <w:color w:val="auto"/>
          <w:sz w:val="24"/>
        </w:rPr>
      </w:pPr>
      <w:r>
        <w:rPr>
          <w:rFonts w:hint="eastAsia" w:ascii="宋体" w:hAnsi="宋体"/>
          <w:color w:val="auto"/>
          <w:sz w:val="24"/>
        </w:rPr>
        <w:t>（三）响应文件有效期</w:t>
      </w:r>
    </w:p>
    <w:p>
      <w:pPr>
        <w:spacing w:line="276" w:lineRule="auto"/>
        <w:ind w:firstLine="480" w:firstLineChars="200"/>
        <w:rPr>
          <w:rFonts w:hint="eastAsia" w:ascii="宋体" w:hAnsi="宋体"/>
          <w:color w:val="auto"/>
          <w:sz w:val="24"/>
        </w:rPr>
      </w:pPr>
      <w:r>
        <w:rPr>
          <w:rFonts w:hint="eastAsia" w:ascii="宋体" w:hAnsi="宋体"/>
          <w:color w:val="auto"/>
          <w:sz w:val="24"/>
        </w:rPr>
        <w:t>响应文件有效期为响应文件提交截止日期后九十天内。</w:t>
      </w:r>
    </w:p>
    <w:p>
      <w:pPr>
        <w:spacing w:line="276" w:lineRule="auto"/>
        <w:ind w:firstLine="480" w:firstLineChars="200"/>
        <w:rPr>
          <w:rFonts w:hint="eastAsia" w:ascii="宋体" w:hAnsi="宋体"/>
          <w:color w:val="auto"/>
          <w:sz w:val="24"/>
        </w:rPr>
      </w:pPr>
      <w:r>
        <w:rPr>
          <w:rFonts w:hint="eastAsia" w:ascii="宋体" w:hAnsi="宋体"/>
          <w:color w:val="auto"/>
          <w:sz w:val="24"/>
        </w:rPr>
        <w:t>（四）磋商保证金</w:t>
      </w:r>
    </w:p>
    <w:p>
      <w:pPr>
        <w:tabs>
          <w:tab w:val="left" w:pos="0"/>
        </w:tabs>
        <w:snapToGrid w:val="0"/>
        <w:spacing w:line="276" w:lineRule="auto"/>
        <w:ind w:firstLine="480" w:firstLineChars="200"/>
        <w:rPr>
          <w:rFonts w:hint="eastAsia" w:ascii="宋体" w:hAnsi="宋体"/>
          <w:color w:val="auto"/>
          <w:sz w:val="24"/>
        </w:rPr>
      </w:pPr>
      <w:r>
        <w:rPr>
          <w:rFonts w:hint="eastAsia" w:ascii="宋体" w:hAnsi="宋体"/>
          <w:color w:val="auto"/>
          <w:sz w:val="24"/>
        </w:rPr>
        <w:t>1、供应商应在响应文件提交截止时间前，按磋商文件第一篇规定缴纳磋商保证金。</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2、磋商保证金为磋商的有效约束条件。</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3、磋商保证金的有效期限在响应文件有效期过后三十天内继续有效。</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4、磋商保证金币种应与响应文件中报价币种相同。</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5、采购人在《成交通知书》发出后五个工作日内无息退还未成交供应商的磋商保证金；在采购合同签订后五个工作日无息退还成交供应商的磋商保证金。</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6、供应商有下列情形之一的，经监督部门和采购人确认属实，磋商保证金将不予退还，由采购代理机构上缴国库：</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（1）供应商在提交响应文件截止时间后撤回响应文件的；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（2）供应商在响应文件中提供虚假材料的；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（3）除因不可抗力或竞争性磋商文件认可的情形以外，成交供应商不与采购人签订合同的；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（4）供应商与采购人、其他供应商或者采购代理机构恶意串通的；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（5）成交供应商不按规定的时间或拒绝按成交状态签订合同（即不按照采购文件确定的合同文本以及采购标的、规格型号、采购金额、采购数量、技术和服务要求等事项签订政府采购合同的。）。</w:t>
      </w:r>
    </w:p>
    <w:p>
      <w:pPr>
        <w:snapToGrid w:val="0"/>
        <w:spacing w:line="276" w:lineRule="auto"/>
        <w:ind w:firstLine="470" w:firstLineChars="196"/>
        <w:jc w:val="left"/>
        <w:rPr>
          <w:rFonts w:hint="eastAsia" w:ascii="宋体" w:hAnsi="宋体"/>
          <w:bCs/>
          <w:color w:val="auto"/>
          <w:sz w:val="24"/>
        </w:rPr>
      </w:pPr>
      <w:r>
        <w:rPr>
          <w:rFonts w:hint="eastAsia" w:ascii="宋体" w:hAnsi="宋体"/>
          <w:bCs/>
          <w:color w:val="auto"/>
          <w:sz w:val="24"/>
        </w:rPr>
        <w:t>（五）响应文件的份数和签署</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1、响应文件一式二份，其中正本一份，副本一份。每套纸质响应文件须在封面清楚地标明“正本”或“副本”，副本应为正本的完整复印件，副本与正本不一致时以正本为准。</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2、在磋商文件第六篇响应文件格式中规定签字、盖章的地方必须按其规定签字、盖章。</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3、若供应商对响应文件的错处作必要修改，则应在修改处加盖供应商公章或由</w:t>
      </w:r>
      <w:r>
        <w:rPr>
          <w:rFonts w:hint="eastAsia" w:ascii="宋体" w:hAnsi="宋体"/>
          <w:color w:val="auto"/>
          <w:sz w:val="24"/>
          <w:szCs w:val="28"/>
        </w:rPr>
        <w:t>法定代表人</w:t>
      </w:r>
      <w:r>
        <w:rPr>
          <w:rFonts w:hint="eastAsia" w:ascii="宋体" w:hAnsi="宋体"/>
          <w:color w:val="auto"/>
          <w:sz w:val="24"/>
        </w:rPr>
        <w:t>或</w:t>
      </w:r>
      <w:r>
        <w:rPr>
          <w:rFonts w:hint="eastAsia" w:ascii="宋体" w:hAnsi="宋体"/>
          <w:color w:val="auto"/>
          <w:sz w:val="24"/>
          <w:szCs w:val="28"/>
        </w:rPr>
        <w:t>法定代表人</w:t>
      </w:r>
      <w:r>
        <w:rPr>
          <w:rFonts w:hint="eastAsia" w:ascii="宋体" w:hAnsi="宋体"/>
          <w:color w:val="auto"/>
          <w:sz w:val="24"/>
        </w:rPr>
        <w:t>授权代表签字确认。</w:t>
      </w:r>
    </w:p>
    <w:p>
      <w:pPr>
        <w:snapToGrid w:val="0"/>
        <w:spacing w:line="276" w:lineRule="auto"/>
        <w:ind w:firstLine="470" w:firstLineChars="196"/>
        <w:jc w:val="left"/>
        <w:rPr>
          <w:rFonts w:hint="eastAsia" w:ascii="宋体" w:hAnsi="宋体"/>
          <w:color w:val="auto"/>
          <w:sz w:val="24"/>
        </w:rPr>
      </w:pPr>
      <w:r>
        <w:rPr>
          <w:rFonts w:hint="eastAsia" w:ascii="宋体" w:hAnsi="宋体"/>
          <w:color w:val="auto"/>
          <w:sz w:val="24"/>
        </w:rPr>
        <w:t>4、电报、电话、传真形式的响应文件概不接受。</w:t>
      </w:r>
    </w:p>
    <w:p>
      <w:pPr>
        <w:snapToGrid w:val="0"/>
        <w:spacing w:line="276" w:lineRule="auto"/>
        <w:ind w:firstLine="470" w:firstLineChars="196"/>
        <w:jc w:val="left"/>
        <w:rPr>
          <w:rFonts w:hint="eastAsia" w:ascii="宋体" w:hAnsi="宋体"/>
          <w:bCs/>
          <w:color w:val="auto"/>
          <w:sz w:val="24"/>
        </w:rPr>
      </w:pPr>
      <w:r>
        <w:rPr>
          <w:rFonts w:hint="eastAsia" w:ascii="宋体" w:hAnsi="宋体"/>
          <w:bCs/>
          <w:color w:val="auto"/>
          <w:sz w:val="24"/>
        </w:rPr>
        <w:t>（六）报价</w:t>
      </w:r>
    </w:p>
    <w:p>
      <w:pPr>
        <w:snapToGrid w:val="0"/>
        <w:spacing w:line="276" w:lineRule="auto"/>
        <w:ind w:firstLine="470" w:firstLineChars="196"/>
        <w:jc w:val="left"/>
        <w:rPr>
          <w:rFonts w:hint="eastAsia" w:ascii="宋体" w:hAnsi="宋体"/>
          <w:color w:val="auto"/>
          <w:sz w:val="24"/>
        </w:rPr>
      </w:pPr>
      <w:r>
        <w:rPr>
          <w:rFonts w:hint="eastAsia" w:ascii="宋体" w:hAnsi="宋体"/>
          <w:bCs/>
          <w:color w:val="auto"/>
          <w:sz w:val="24"/>
        </w:rPr>
        <w:t>1、供应商应严格按照“响应文件格式”中“报价一览表”和“分项报价明细表”</w:t>
      </w:r>
      <w:r>
        <w:rPr>
          <w:rFonts w:hint="eastAsia" w:ascii="宋体" w:hAnsi="宋体"/>
          <w:color w:val="auto"/>
          <w:sz w:val="24"/>
        </w:rPr>
        <w:t>的格式填写报价。</w:t>
      </w:r>
    </w:p>
    <w:p>
      <w:pPr>
        <w:snapToGrid w:val="0"/>
        <w:spacing w:line="276" w:lineRule="auto"/>
        <w:ind w:left="3" w:leftChars="1" w:firstLine="480" w:firstLineChars="200"/>
        <w:rPr>
          <w:rFonts w:hint="eastAsia" w:ascii="宋体" w:hAnsi="宋体"/>
          <w:color w:val="auto"/>
          <w:sz w:val="24"/>
        </w:rPr>
      </w:pPr>
      <w:r>
        <w:rPr>
          <w:rFonts w:hint="eastAsia" w:ascii="宋体" w:hAnsi="宋体"/>
          <w:color w:val="auto"/>
          <w:sz w:val="24"/>
        </w:rPr>
        <w:t>2、供应商的报价为一次性报价，即在响应文件有效期内报价固定不变。</w:t>
      </w:r>
    </w:p>
    <w:p>
      <w:pPr>
        <w:snapToGrid w:val="0"/>
        <w:spacing w:line="276" w:lineRule="auto"/>
        <w:ind w:left="3" w:leftChars="1" w:firstLine="480" w:firstLineChars="200"/>
        <w:rPr>
          <w:rFonts w:hint="eastAsia" w:ascii="宋体" w:hAnsi="宋体"/>
          <w:color w:val="auto"/>
          <w:sz w:val="24"/>
        </w:rPr>
      </w:pPr>
      <w:r>
        <w:rPr>
          <w:rFonts w:hint="eastAsia" w:ascii="宋体" w:hAnsi="宋体"/>
          <w:color w:val="auto"/>
          <w:sz w:val="24"/>
        </w:rPr>
        <w:t>3、本项目只接受一个报价，有选择的或有条件的报价将不予接受。</w:t>
      </w:r>
    </w:p>
    <w:p>
      <w:pPr>
        <w:pStyle w:val="31"/>
        <w:spacing w:line="276" w:lineRule="auto"/>
        <w:ind w:firstLine="480" w:firstLineChars="200"/>
        <w:rPr>
          <w:rFonts w:hint="eastAsia" w:hAnsi="宋体"/>
          <w:color w:val="auto"/>
          <w:sz w:val="24"/>
        </w:rPr>
      </w:pPr>
      <w:r>
        <w:rPr>
          <w:rFonts w:hint="eastAsia" w:hAnsi="宋体"/>
          <w:color w:val="auto"/>
          <w:sz w:val="24"/>
        </w:rPr>
        <w:t>（七）修正错误</w:t>
      </w:r>
    </w:p>
    <w:p>
      <w:pPr>
        <w:pStyle w:val="31"/>
        <w:spacing w:line="276" w:lineRule="auto"/>
        <w:ind w:firstLine="480" w:firstLineChars="200"/>
        <w:rPr>
          <w:rFonts w:hint="eastAsia" w:hAnsi="宋体"/>
          <w:color w:val="auto"/>
          <w:sz w:val="24"/>
        </w:rPr>
      </w:pPr>
      <w:r>
        <w:rPr>
          <w:rFonts w:hint="eastAsia" w:hAnsi="宋体"/>
          <w:color w:val="auto"/>
          <w:sz w:val="24"/>
        </w:rPr>
        <w:t>若响应文件出现计算或表达上的错误，修正错误的原则如下：</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1、开标一览表总价与分项报价明细表汇总数不一致的，</w:t>
      </w:r>
      <w:r>
        <w:rPr>
          <w:rFonts w:hint="eastAsia" w:ascii="宋体" w:hAnsi="宋体" w:cs="Arial"/>
          <w:color w:val="auto"/>
          <w:kern w:val="0"/>
          <w:sz w:val="24"/>
        </w:rPr>
        <w:t>以报价一览表为准；</w:t>
      </w:r>
    </w:p>
    <w:p>
      <w:pPr>
        <w:pStyle w:val="31"/>
        <w:spacing w:line="276" w:lineRule="auto"/>
        <w:ind w:firstLine="480" w:firstLineChars="200"/>
        <w:rPr>
          <w:rFonts w:hint="eastAsia" w:hAnsi="宋体"/>
          <w:color w:val="auto"/>
          <w:sz w:val="24"/>
        </w:rPr>
      </w:pPr>
      <w:r>
        <w:rPr>
          <w:rFonts w:hint="eastAsia" w:hAnsi="宋体"/>
          <w:color w:val="auto"/>
          <w:sz w:val="24"/>
        </w:rPr>
        <w:t>2、大写金额和小写金额不一致的，以大写金额为准；</w:t>
      </w:r>
    </w:p>
    <w:p>
      <w:pPr>
        <w:pStyle w:val="31"/>
        <w:spacing w:line="276" w:lineRule="auto"/>
        <w:ind w:firstLine="480" w:firstLineChars="200"/>
        <w:rPr>
          <w:rFonts w:hint="eastAsia" w:hAnsi="宋体"/>
          <w:color w:val="auto"/>
          <w:sz w:val="24"/>
        </w:rPr>
      </w:pPr>
      <w:r>
        <w:rPr>
          <w:rFonts w:hint="eastAsia" w:hAnsi="宋体"/>
          <w:color w:val="auto"/>
          <w:sz w:val="24"/>
        </w:rPr>
        <w:t>3、总价金额与按单价汇总金额不一致的，以单价金额计算结果为准；</w:t>
      </w:r>
    </w:p>
    <w:p>
      <w:pPr>
        <w:pStyle w:val="31"/>
        <w:spacing w:line="276" w:lineRule="auto"/>
        <w:ind w:firstLine="480" w:firstLineChars="200"/>
        <w:rPr>
          <w:rFonts w:hint="eastAsia" w:hAnsi="宋体"/>
          <w:color w:val="auto"/>
          <w:sz w:val="24"/>
        </w:rPr>
      </w:pPr>
      <w:r>
        <w:rPr>
          <w:rFonts w:hint="eastAsia" w:hAnsi="宋体"/>
          <w:color w:val="auto"/>
          <w:sz w:val="24"/>
        </w:rPr>
        <w:t>4、单价金额小数点有明显错位的，应以总价为准，并修正单价；</w:t>
      </w:r>
    </w:p>
    <w:p>
      <w:pPr>
        <w:pStyle w:val="31"/>
        <w:spacing w:line="276" w:lineRule="auto"/>
        <w:ind w:firstLine="480" w:firstLineChars="200"/>
        <w:rPr>
          <w:rFonts w:hint="eastAsia" w:hAnsi="宋体"/>
          <w:color w:val="auto"/>
          <w:sz w:val="24"/>
        </w:rPr>
      </w:pPr>
      <w:r>
        <w:rPr>
          <w:rFonts w:hint="eastAsia" w:hAnsi="宋体"/>
          <w:color w:val="auto"/>
          <w:sz w:val="24"/>
        </w:rPr>
        <w:t>5、对不同文字文本响应文件的解释发生异议的，以中文文本为准。</w:t>
      </w:r>
    </w:p>
    <w:p>
      <w:pPr>
        <w:pStyle w:val="31"/>
        <w:spacing w:line="276" w:lineRule="auto"/>
        <w:ind w:firstLine="480" w:firstLineChars="200"/>
        <w:rPr>
          <w:rFonts w:hint="eastAsia" w:hAnsi="宋体"/>
          <w:color w:val="auto"/>
          <w:sz w:val="24"/>
        </w:rPr>
      </w:pPr>
      <w:r>
        <w:rPr>
          <w:rFonts w:hint="eastAsia" w:hAnsi="宋体"/>
          <w:color w:val="auto"/>
          <w:sz w:val="24"/>
        </w:rPr>
        <w:t>磋商小组按上述修正错误的原则及方法调整或修正供应商报价，供应商同意并签字确认后，调整后的报价对供应商具有约束作用。如果供应商不接受修正后的报价，则将其作为响应文件无效处理。</w:t>
      </w:r>
    </w:p>
    <w:p>
      <w:pPr>
        <w:pStyle w:val="31"/>
        <w:spacing w:line="276" w:lineRule="auto"/>
        <w:ind w:firstLine="480" w:firstLineChars="200"/>
        <w:rPr>
          <w:rFonts w:hint="eastAsia" w:hAnsi="宋体"/>
          <w:color w:val="auto"/>
          <w:sz w:val="24"/>
        </w:rPr>
      </w:pPr>
      <w:r>
        <w:rPr>
          <w:rFonts w:hint="eastAsia" w:hAnsi="宋体"/>
          <w:color w:val="auto"/>
          <w:sz w:val="24"/>
        </w:rPr>
        <w:t>（八）响应文件的递交</w:t>
      </w:r>
    </w:p>
    <w:p>
      <w:pPr>
        <w:pStyle w:val="31"/>
        <w:spacing w:line="276" w:lineRule="auto"/>
        <w:ind w:firstLine="480" w:firstLineChars="200"/>
        <w:rPr>
          <w:rFonts w:hint="eastAsia" w:hAnsi="宋体"/>
          <w:color w:val="auto"/>
          <w:sz w:val="24"/>
        </w:rPr>
      </w:pPr>
      <w:r>
        <w:rPr>
          <w:rFonts w:hint="eastAsia" w:hAnsi="宋体"/>
          <w:color w:val="auto"/>
          <w:sz w:val="24"/>
        </w:rPr>
        <w:t>1、响应文件的密封与标记</w:t>
      </w:r>
    </w:p>
    <w:p>
      <w:pPr>
        <w:pStyle w:val="31"/>
        <w:spacing w:line="276" w:lineRule="auto"/>
        <w:ind w:firstLine="480" w:firstLineChars="200"/>
        <w:rPr>
          <w:rFonts w:hint="eastAsia" w:hAnsi="宋体"/>
          <w:color w:val="auto"/>
          <w:sz w:val="24"/>
        </w:rPr>
      </w:pPr>
      <w:r>
        <w:rPr>
          <w:rFonts w:hint="eastAsia" w:hAnsi="宋体"/>
          <w:color w:val="auto"/>
          <w:sz w:val="24"/>
        </w:rPr>
        <w:t>1.1响应文件的正本、副本均应密封送达磋商地点，应在封套上注明项目名称、供应商名称。若正本、副本分别进行密封的，还应在封套上注明“正本”、“副本”字样。</w:t>
      </w:r>
    </w:p>
    <w:p>
      <w:pPr>
        <w:pStyle w:val="31"/>
        <w:spacing w:line="276" w:lineRule="auto"/>
        <w:ind w:firstLine="480" w:firstLineChars="200"/>
        <w:rPr>
          <w:rFonts w:hint="eastAsia" w:hAnsi="宋体"/>
          <w:color w:val="auto"/>
          <w:sz w:val="24"/>
        </w:rPr>
      </w:pPr>
      <w:r>
        <w:rPr>
          <w:rFonts w:hint="eastAsia" w:hAnsi="宋体"/>
          <w:color w:val="auto"/>
          <w:sz w:val="24"/>
        </w:rPr>
        <w:t>1.2封套的封口处应加盖供应商公章或由法定代表人授权代表签字。</w:t>
      </w:r>
    </w:p>
    <w:p>
      <w:pPr>
        <w:pStyle w:val="31"/>
        <w:spacing w:line="276" w:lineRule="auto"/>
        <w:ind w:firstLine="480" w:firstLineChars="200"/>
        <w:rPr>
          <w:rFonts w:hint="eastAsia" w:hAnsi="宋体"/>
          <w:color w:val="auto"/>
          <w:sz w:val="24"/>
        </w:rPr>
      </w:pPr>
      <w:r>
        <w:rPr>
          <w:rFonts w:hint="eastAsia" w:hAnsi="宋体"/>
          <w:color w:val="auto"/>
          <w:sz w:val="24"/>
        </w:rPr>
        <w:t>2、如果未按上述规定进行密封和标记，采购人对响应文件误投、丢失或提前拆封不负责任。</w:t>
      </w:r>
    </w:p>
    <w:p>
      <w:pPr>
        <w:pStyle w:val="3"/>
        <w:spacing w:line="276" w:lineRule="auto"/>
        <w:ind w:firstLine="482" w:firstLineChars="200"/>
        <w:rPr>
          <w:rFonts w:hint="eastAsia"/>
          <w:b/>
          <w:color w:val="auto"/>
          <w:sz w:val="24"/>
        </w:rPr>
      </w:pPr>
      <w:bookmarkStart w:id="45" w:name="_Toc441065682"/>
      <w:bookmarkStart w:id="46" w:name="_Toc18216"/>
      <w:r>
        <w:rPr>
          <w:rFonts w:hint="eastAsia"/>
          <w:b/>
          <w:color w:val="auto"/>
          <w:sz w:val="24"/>
        </w:rPr>
        <w:t>四、</w:t>
      </w:r>
      <w:bookmarkEnd w:id="45"/>
      <w:r>
        <w:rPr>
          <w:rFonts w:hint="eastAsia"/>
          <w:b/>
          <w:color w:val="auto"/>
          <w:sz w:val="24"/>
        </w:rPr>
        <w:t>竞争性磋商程序</w:t>
      </w:r>
      <w:bookmarkEnd w:id="46"/>
    </w:p>
    <w:p>
      <w:pPr>
        <w:spacing w:line="276" w:lineRule="auto"/>
        <w:ind w:firstLine="480" w:firstLineChars="200"/>
        <w:rPr>
          <w:rFonts w:hint="eastAsia" w:ascii="宋体" w:hAnsi="宋体"/>
          <w:color w:val="auto"/>
          <w:sz w:val="24"/>
        </w:rPr>
      </w:pPr>
      <w:r>
        <w:rPr>
          <w:rFonts w:hint="eastAsia" w:ascii="宋体" w:hAnsi="宋体"/>
          <w:color w:val="auto"/>
          <w:sz w:val="24"/>
        </w:rPr>
        <w:t>（一）磋商应当在磋商文件中“竞争性磋商邀请书”确定的时间和地点公开进行。</w:t>
      </w:r>
    </w:p>
    <w:p>
      <w:pPr>
        <w:spacing w:line="276" w:lineRule="auto"/>
        <w:ind w:firstLine="480" w:firstLineChars="200"/>
        <w:rPr>
          <w:rFonts w:hint="eastAsia" w:ascii="宋体" w:hAnsi="宋体"/>
          <w:color w:val="auto"/>
          <w:sz w:val="24"/>
        </w:rPr>
      </w:pPr>
      <w:r>
        <w:rPr>
          <w:rFonts w:hint="eastAsia" w:ascii="宋体" w:hAnsi="宋体"/>
          <w:color w:val="auto"/>
          <w:sz w:val="24"/>
        </w:rPr>
        <w:t>（二）磋商评审活动邀请采购人、财政部门和有关监督部门代表参加，财政部门和有关监督部门可视情况派员现场监督。</w:t>
      </w:r>
    </w:p>
    <w:p>
      <w:pPr>
        <w:spacing w:line="276" w:lineRule="auto"/>
        <w:ind w:firstLine="480" w:firstLineChars="200"/>
        <w:rPr>
          <w:rFonts w:hint="eastAsia" w:ascii="宋体" w:hAnsi="宋体"/>
          <w:color w:val="auto"/>
          <w:sz w:val="24"/>
        </w:rPr>
      </w:pPr>
      <w:r>
        <w:rPr>
          <w:rFonts w:hint="eastAsia" w:ascii="宋体" w:hAnsi="宋体"/>
          <w:color w:val="auto"/>
          <w:sz w:val="24"/>
        </w:rPr>
        <w:t>（三）按磋商文件规定的响应文件提交截止时间内，供应商法定代表人或授权代表签到并提交响应文件，磋商保证金。</w:t>
      </w:r>
    </w:p>
    <w:p>
      <w:pPr>
        <w:spacing w:line="276" w:lineRule="auto"/>
        <w:ind w:firstLine="480" w:firstLineChars="200"/>
        <w:rPr>
          <w:rFonts w:hint="eastAsia" w:ascii="宋体" w:hAnsi="宋体"/>
          <w:color w:val="auto"/>
          <w:sz w:val="24"/>
        </w:rPr>
      </w:pPr>
      <w:r>
        <w:rPr>
          <w:rFonts w:hint="eastAsia" w:ascii="宋体" w:hAnsi="宋体"/>
          <w:color w:val="auto"/>
          <w:sz w:val="24"/>
        </w:rPr>
        <w:t>（四）磋商评审前，由供应商或者其推选的授权代表检查响应文件的密封情况，经确认密封完好的响应文件，由采购人工作人员当众拆封。</w:t>
      </w:r>
    </w:p>
    <w:p>
      <w:pPr>
        <w:spacing w:line="276" w:lineRule="auto"/>
        <w:ind w:firstLine="480" w:firstLineChars="200"/>
        <w:rPr>
          <w:rFonts w:hint="eastAsia" w:ascii="宋体" w:hAnsi="宋体"/>
          <w:color w:val="auto"/>
          <w:sz w:val="24"/>
        </w:rPr>
      </w:pPr>
      <w:r>
        <w:rPr>
          <w:rFonts w:hint="eastAsia" w:ascii="宋体" w:hAnsi="宋体"/>
          <w:color w:val="auto"/>
          <w:sz w:val="24"/>
        </w:rPr>
        <w:t>（五）响应文件转入评标室由磋商小组评审。</w:t>
      </w:r>
    </w:p>
    <w:p>
      <w:pPr>
        <w:spacing w:line="276" w:lineRule="auto"/>
        <w:ind w:firstLine="480" w:firstLineChars="200"/>
        <w:rPr>
          <w:rFonts w:hint="eastAsia" w:ascii="宋体" w:hAnsi="宋体"/>
          <w:color w:val="auto"/>
          <w:sz w:val="24"/>
        </w:rPr>
      </w:pPr>
      <w:r>
        <w:rPr>
          <w:rFonts w:hint="eastAsia" w:ascii="宋体" w:hAnsi="宋体"/>
          <w:color w:val="auto"/>
          <w:sz w:val="24"/>
        </w:rPr>
        <w:t>（九）磋商小组对响应文件进行资格性和符合性审查。</w:t>
      </w:r>
    </w:p>
    <w:p>
      <w:pPr>
        <w:spacing w:line="276" w:lineRule="auto"/>
        <w:ind w:firstLine="480" w:firstLineChars="200"/>
        <w:rPr>
          <w:rFonts w:hint="eastAsia" w:ascii="宋体" w:hAnsi="宋体"/>
          <w:color w:val="auto"/>
          <w:sz w:val="24"/>
        </w:rPr>
      </w:pPr>
      <w:r>
        <w:rPr>
          <w:rFonts w:hint="eastAsia" w:ascii="宋体" w:hAnsi="宋体"/>
          <w:color w:val="auto"/>
          <w:sz w:val="24"/>
        </w:rPr>
        <w:t>（十）</w:t>
      </w:r>
      <w:r>
        <w:rPr>
          <w:rFonts w:hint="eastAsia" w:ascii="宋体" w:hAnsi="宋体"/>
          <w:b/>
          <w:color w:val="auto"/>
          <w:sz w:val="24"/>
          <w:szCs w:val="24"/>
        </w:rPr>
        <w:t>竞争性磋商以签到的顺序作为磋商顺序</w:t>
      </w:r>
      <w:r>
        <w:rPr>
          <w:rFonts w:hint="eastAsia" w:ascii="宋体" w:hAnsi="宋体"/>
          <w:color w:val="auto"/>
          <w:sz w:val="24"/>
          <w:szCs w:val="24"/>
        </w:rPr>
        <w:t>，</w:t>
      </w:r>
      <w:r>
        <w:rPr>
          <w:rFonts w:hint="eastAsia" w:ascii="宋体" w:hAnsi="宋体"/>
          <w:color w:val="auto"/>
          <w:sz w:val="24"/>
        </w:rPr>
        <w:t>磋商小组</w:t>
      </w:r>
      <w:r>
        <w:rPr>
          <w:rFonts w:hint="eastAsia" w:ascii="宋体" w:hAnsi="宋体" w:cs="方正仿宋_GBK"/>
          <w:color w:val="auto"/>
          <w:sz w:val="24"/>
          <w:szCs w:val="24"/>
        </w:rPr>
        <w:t>分别与各供应商进行磋商，供应商入场参与磋商的人员不得超过2人，其中包含法定代表人授权代表和项目负责人（可为同一人）。若有实质性变动，供应商应作出相应承诺或重新提交响应文件（具体见</w:t>
      </w:r>
      <w:r>
        <w:rPr>
          <w:rFonts w:hint="eastAsia" w:ascii="宋体" w:hAnsi="宋体"/>
          <w:color w:val="auto"/>
          <w:sz w:val="24"/>
        </w:rPr>
        <w:t>第三篇“评审程序”内容）</w:t>
      </w:r>
      <w:r>
        <w:rPr>
          <w:rFonts w:hint="eastAsia" w:ascii="宋体" w:hAnsi="宋体" w:cs="方正仿宋_GBK"/>
          <w:color w:val="auto"/>
          <w:sz w:val="24"/>
          <w:szCs w:val="24"/>
        </w:rPr>
        <w:t>。</w:t>
      </w:r>
    </w:p>
    <w:p>
      <w:pPr>
        <w:spacing w:line="276" w:lineRule="auto"/>
        <w:ind w:firstLine="480" w:firstLineChars="200"/>
        <w:rPr>
          <w:rFonts w:hint="eastAsia" w:ascii="宋体" w:hAnsi="宋体"/>
          <w:color w:val="auto"/>
          <w:sz w:val="24"/>
        </w:rPr>
      </w:pPr>
      <w:r>
        <w:rPr>
          <w:rFonts w:hint="eastAsia" w:ascii="宋体" w:hAnsi="宋体"/>
          <w:color w:val="auto"/>
          <w:sz w:val="24"/>
        </w:rPr>
        <w:t>（十一）供应商按磋商情况，提交最后报价。最后报价应统一填写，同时提交，并由主持人当众宣读合格供应商的最后报价。</w:t>
      </w:r>
      <w:r>
        <w:rPr>
          <w:rFonts w:hint="eastAsia" w:ascii="宋体" w:hAnsi="宋体"/>
          <w:b/>
          <w:bCs/>
          <w:color w:val="auto"/>
          <w:sz w:val="24"/>
          <w:szCs w:val="24"/>
        </w:rPr>
        <w:t>原则上</w:t>
      </w:r>
      <w:r>
        <w:rPr>
          <w:rFonts w:hint="eastAsia" w:ascii="宋体" w:hAnsi="宋体"/>
          <w:b/>
          <w:bCs/>
          <w:color w:val="auto"/>
          <w:sz w:val="24"/>
          <w:szCs w:val="24"/>
          <w:lang w:eastAsia="zh-CN"/>
        </w:rPr>
        <w:t>最终</w:t>
      </w:r>
      <w:r>
        <w:rPr>
          <w:rFonts w:hint="eastAsia" w:ascii="宋体" w:hAnsi="宋体"/>
          <w:b/>
          <w:bCs/>
          <w:color w:val="auto"/>
          <w:sz w:val="24"/>
          <w:szCs w:val="24"/>
        </w:rPr>
        <w:t>报价不得高于</w:t>
      </w:r>
      <w:r>
        <w:rPr>
          <w:rFonts w:hint="eastAsia" w:ascii="宋体" w:hAnsi="宋体"/>
          <w:b/>
          <w:bCs/>
          <w:color w:val="auto"/>
          <w:sz w:val="24"/>
          <w:szCs w:val="24"/>
          <w:lang w:eastAsia="zh-CN"/>
        </w:rPr>
        <w:t>原</w:t>
      </w:r>
      <w:r>
        <w:rPr>
          <w:rFonts w:hint="eastAsia" w:ascii="宋体" w:hAnsi="宋体"/>
          <w:b/>
          <w:bCs/>
          <w:color w:val="auto"/>
          <w:sz w:val="24"/>
          <w:szCs w:val="24"/>
        </w:rPr>
        <w:t>报价，超出规定时间没有提交最终报价或最终报价高于原报价的或最终报价有歧义的，视为供应商放弃最终报价，以其</w:t>
      </w:r>
      <w:r>
        <w:rPr>
          <w:rFonts w:hint="eastAsia" w:ascii="宋体" w:hAnsi="宋体"/>
          <w:b/>
          <w:bCs/>
          <w:color w:val="auto"/>
          <w:sz w:val="24"/>
          <w:szCs w:val="24"/>
          <w:lang w:eastAsia="zh-CN"/>
        </w:rPr>
        <w:t>原</w:t>
      </w:r>
      <w:r>
        <w:rPr>
          <w:rFonts w:hint="eastAsia" w:ascii="宋体" w:hAnsi="宋体"/>
          <w:b/>
          <w:bCs/>
          <w:color w:val="auto"/>
          <w:sz w:val="24"/>
          <w:szCs w:val="24"/>
        </w:rPr>
        <w:t>报价为准。最终报价如只报总价，则最终单项报价以最终总报价与第一轮总报价之比同比例下浮（下浮比例的计算保留到小数点后两位）。</w:t>
      </w:r>
    </w:p>
    <w:p>
      <w:pPr>
        <w:pStyle w:val="31"/>
        <w:spacing w:line="276" w:lineRule="auto"/>
        <w:ind w:firstLine="480" w:firstLineChars="200"/>
        <w:rPr>
          <w:rFonts w:hint="eastAsia" w:hAnsi="宋体"/>
          <w:color w:val="auto"/>
          <w:sz w:val="24"/>
        </w:rPr>
      </w:pPr>
      <w:r>
        <w:rPr>
          <w:rFonts w:hint="eastAsia" w:hAnsi="宋体"/>
          <w:color w:val="auto"/>
          <w:sz w:val="24"/>
        </w:rPr>
        <w:t>（十二）磋商小组采用综合评分法对提交最后报价的供应商的响应文件和最后报价进行综合评分。</w:t>
      </w:r>
    </w:p>
    <w:p>
      <w:pPr>
        <w:pStyle w:val="3"/>
        <w:spacing w:line="276" w:lineRule="auto"/>
        <w:ind w:firstLine="482" w:firstLineChars="200"/>
        <w:rPr>
          <w:rFonts w:hint="eastAsia"/>
          <w:b/>
          <w:color w:val="auto"/>
          <w:sz w:val="24"/>
        </w:rPr>
      </w:pPr>
      <w:bookmarkStart w:id="47" w:name="_Toc441065684"/>
      <w:bookmarkStart w:id="48" w:name="_Toc17658"/>
      <w:r>
        <w:rPr>
          <w:rFonts w:hint="eastAsia"/>
          <w:b/>
          <w:color w:val="auto"/>
          <w:sz w:val="24"/>
        </w:rPr>
        <w:t>五、</w:t>
      </w:r>
      <w:bookmarkEnd w:id="47"/>
      <w:r>
        <w:rPr>
          <w:rFonts w:hint="eastAsia"/>
          <w:b/>
          <w:color w:val="auto"/>
          <w:sz w:val="24"/>
        </w:rPr>
        <w:t>确定成交供应商</w:t>
      </w:r>
      <w:bookmarkEnd w:id="48"/>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（一）成交原则</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采购人或其授权的磋商小组应按照评审报告中推荐的成交候选人排名顺序确定成交供应商。</w:t>
      </w:r>
    </w:p>
    <w:p>
      <w:pPr>
        <w:pStyle w:val="31"/>
        <w:numPr>
          <w:ilvl w:val="0"/>
          <w:numId w:val="21"/>
        </w:numPr>
        <w:spacing w:line="276" w:lineRule="auto"/>
        <w:ind w:firstLine="480" w:firstLineChars="200"/>
        <w:rPr>
          <w:rFonts w:hint="eastAsia" w:hAnsi="宋体"/>
          <w:color w:val="auto"/>
          <w:sz w:val="24"/>
        </w:rPr>
      </w:pPr>
      <w:r>
        <w:rPr>
          <w:rFonts w:hint="eastAsia" w:hAnsi="宋体"/>
          <w:color w:val="auto"/>
          <w:sz w:val="24"/>
        </w:rPr>
        <w:t>确定程序</w:t>
      </w:r>
    </w:p>
    <w:p>
      <w:pPr>
        <w:pStyle w:val="31"/>
        <w:spacing w:line="276" w:lineRule="auto"/>
        <w:ind w:left="480"/>
        <w:rPr>
          <w:rFonts w:hint="eastAsia" w:hAnsi="宋体"/>
          <w:b/>
          <w:color w:val="auto"/>
          <w:sz w:val="24"/>
        </w:rPr>
      </w:pPr>
      <w:r>
        <w:rPr>
          <w:rFonts w:hint="eastAsia" w:hAnsi="宋体"/>
          <w:b/>
          <w:color w:val="auto"/>
          <w:sz w:val="24"/>
        </w:rPr>
        <w:t>本项目</w:t>
      </w:r>
      <w:r>
        <w:rPr>
          <w:rFonts w:hint="eastAsia" w:hAnsi="宋体"/>
          <w:b/>
          <w:bCs/>
          <w:color w:val="auto"/>
          <w:sz w:val="24"/>
        </w:rPr>
        <w:t>授权磋商小组直接确定成交供应商</w:t>
      </w:r>
    </w:p>
    <w:p>
      <w:pPr>
        <w:pStyle w:val="31"/>
        <w:spacing w:line="276" w:lineRule="auto"/>
        <w:ind w:firstLine="424" w:firstLineChars="177"/>
        <w:rPr>
          <w:rFonts w:hint="eastAsia" w:hAnsi="宋体"/>
          <w:color w:val="auto"/>
          <w:sz w:val="24"/>
        </w:rPr>
      </w:pPr>
      <w:r>
        <w:rPr>
          <w:rFonts w:hint="eastAsia" w:hAnsi="宋体"/>
          <w:color w:val="auto"/>
          <w:sz w:val="24"/>
        </w:rPr>
        <w:t xml:space="preserve"> 注：</w:t>
      </w:r>
    </w:p>
    <w:p>
      <w:pPr>
        <w:pStyle w:val="31"/>
        <w:spacing w:line="276" w:lineRule="auto"/>
        <w:ind w:firstLine="569" w:firstLineChars="236"/>
        <w:rPr>
          <w:rFonts w:hint="eastAsia" w:hAnsi="宋体"/>
          <w:b/>
          <w:bCs/>
          <w:color w:val="auto"/>
          <w:sz w:val="24"/>
        </w:rPr>
      </w:pPr>
      <w:r>
        <w:rPr>
          <w:rFonts w:hint="eastAsia" w:hAnsi="宋体"/>
          <w:b/>
          <w:bCs/>
          <w:color w:val="auto"/>
          <w:sz w:val="24"/>
        </w:rPr>
        <w:t>（采购人确定成交供应商的情况）</w:t>
      </w:r>
    </w:p>
    <w:p>
      <w:pPr>
        <w:pStyle w:val="31"/>
        <w:spacing w:line="276" w:lineRule="auto"/>
        <w:ind w:firstLine="480" w:firstLineChars="200"/>
        <w:rPr>
          <w:rFonts w:hint="eastAsia" w:hAnsi="宋体"/>
          <w:color w:val="auto"/>
          <w:sz w:val="24"/>
        </w:rPr>
      </w:pPr>
      <w:r>
        <w:rPr>
          <w:rFonts w:hint="eastAsia" w:hAnsi="宋体"/>
          <w:color w:val="auto"/>
          <w:sz w:val="24"/>
        </w:rPr>
        <w:t>1、采购人应当自评审结束之日起2个工作日内将评审报告送交采购人。</w:t>
      </w:r>
    </w:p>
    <w:p>
      <w:pPr>
        <w:pStyle w:val="31"/>
        <w:spacing w:line="276" w:lineRule="auto"/>
        <w:ind w:firstLine="480" w:firstLineChars="200"/>
        <w:rPr>
          <w:rFonts w:hint="eastAsia" w:hAnsi="宋体"/>
          <w:color w:val="auto"/>
          <w:sz w:val="24"/>
        </w:rPr>
      </w:pPr>
      <w:r>
        <w:rPr>
          <w:rFonts w:hint="eastAsia" w:hAnsi="宋体"/>
          <w:color w:val="auto"/>
          <w:sz w:val="24"/>
        </w:rPr>
        <w:t>2、采购人应当自收到评审报告之日起5个工作日内,按评审报告推荐的中标候选人顺序确定。确认后，采购人在重庆市政府采购网和</w:t>
      </w:r>
      <w:r>
        <w:rPr>
          <w:rFonts w:hint="eastAsia" w:hAnsi="宋体"/>
          <w:color w:val="auto"/>
          <w:sz w:val="24"/>
          <w:szCs w:val="24"/>
        </w:rPr>
        <w:t>重庆市公共资源交易网（北碚区）</w:t>
      </w:r>
      <w:r>
        <w:rPr>
          <w:rFonts w:hint="eastAsia" w:hAnsi="宋体"/>
          <w:color w:val="auto"/>
          <w:sz w:val="24"/>
        </w:rPr>
        <w:t>对成交结果进行公告。</w:t>
      </w:r>
    </w:p>
    <w:p>
      <w:pPr>
        <w:pStyle w:val="31"/>
        <w:spacing w:line="276" w:lineRule="auto"/>
        <w:ind w:firstLine="480" w:firstLineChars="200"/>
        <w:rPr>
          <w:rFonts w:hint="eastAsia" w:hAnsi="宋体"/>
          <w:color w:val="auto"/>
          <w:sz w:val="24"/>
        </w:rPr>
      </w:pPr>
      <w:r>
        <w:rPr>
          <w:rFonts w:hint="eastAsia" w:hAnsi="宋体"/>
          <w:color w:val="auto"/>
          <w:sz w:val="24"/>
        </w:rPr>
        <w:t>公告内容包括项目名称和项目编号，磋商小组成员名单，采购人和采购人名称、地址、联系方式，成交供应商信息公示（包含成交供应商地址，成家价格，服务期或实施时间）。</w:t>
      </w:r>
    </w:p>
    <w:p>
      <w:pPr>
        <w:pStyle w:val="31"/>
        <w:spacing w:line="276" w:lineRule="auto"/>
        <w:ind w:firstLine="480" w:firstLineChars="200"/>
        <w:rPr>
          <w:rFonts w:hint="eastAsia" w:hAnsi="宋体"/>
          <w:color w:val="auto"/>
          <w:sz w:val="24"/>
        </w:rPr>
      </w:pPr>
      <w:r>
        <w:rPr>
          <w:rFonts w:hint="eastAsia" w:hAnsi="宋体"/>
          <w:color w:val="auto"/>
          <w:sz w:val="24"/>
        </w:rPr>
        <w:t>4、如有供应商对成交结果提出质疑的，在质疑处理完毕后发出中标通知书。</w:t>
      </w:r>
    </w:p>
    <w:p>
      <w:pPr>
        <w:pStyle w:val="31"/>
        <w:spacing w:line="276" w:lineRule="auto"/>
        <w:ind w:firstLine="480" w:firstLineChars="200"/>
        <w:rPr>
          <w:rFonts w:hint="eastAsia" w:hAnsi="宋体"/>
          <w:color w:val="auto"/>
          <w:sz w:val="24"/>
        </w:rPr>
      </w:pPr>
      <w:r>
        <w:rPr>
          <w:rFonts w:hint="eastAsia" w:hAnsi="宋体"/>
          <w:color w:val="auto"/>
          <w:sz w:val="24"/>
        </w:rPr>
        <w:t>5、成交供应商变更</w:t>
      </w:r>
    </w:p>
    <w:p>
      <w:pPr>
        <w:pStyle w:val="31"/>
        <w:spacing w:line="276" w:lineRule="auto"/>
        <w:ind w:firstLine="480" w:firstLineChars="200"/>
        <w:rPr>
          <w:rFonts w:hint="eastAsia" w:hAnsi="宋体"/>
          <w:color w:val="auto"/>
          <w:sz w:val="24"/>
        </w:rPr>
      </w:pPr>
      <w:r>
        <w:rPr>
          <w:rFonts w:hint="eastAsia" w:hAnsi="宋体"/>
          <w:color w:val="auto"/>
          <w:sz w:val="24"/>
        </w:rPr>
        <w:t>5.1成交供应商拒绝与采购人签订合同的，采购人可以按照评审报告推荐的成交候选人名单排序，确定下一候选人为成交供应商，也可以重新开展政府采购活动。</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5.2成交供应商无充分理由放弃的，采购人将会同采购代理机构把相关情况报财政部门，财政部门将根据财政部十八号令第七十五条的规定对违规供应商进行处罚。</w:t>
      </w:r>
    </w:p>
    <w:p>
      <w:pPr>
        <w:pStyle w:val="31"/>
        <w:spacing w:line="276" w:lineRule="auto"/>
        <w:ind w:firstLine="569" w:firstLineChars="236"/>
        <w:rPr>
          <w:rFonts w:hint="eastAsia" w:hAnsi="宋体"/>
          <w:b/>
          <w:bCs/>
          <w:color w:val="auto"/>
          <w:sz w:val="24"/>
        </w:rPr>
      </w:pPr>
      <w:r>
        <w:rPr>
          <w:rFonts w:hint="eastAsia" w:hAnsi="宋体"/>
          <w:b/>
          <w:bCs/>
          <w:color w:val="auto"/>
          <w:sz w:val="24"/>
        </w:rPr>
        <w:t>（授权磋商小组确定成交供应商的情况）</w:t>
      </w:r>
    </w:p>
    <w:p>
      <w:pPr>
        <w:pStyle w:val="31"/>
        <w:spacing w:line="276" w:lineRule="auto"/>
        <w:ind w:firstLine="480" w:firstLineChars="200"/>
        <w:rPr>
          <w:rFonts w:hint="eastAsia" w:hAnsi="宋体"/>
          <w:color w:val="auto"/>
          <w:sz w:val="24"/>
        </w:rPr>
      </w:pPr>
      <w:r>
        <w:rPr>
          <w:rFonts w:hint="eastAsia" w:hAnsi="宋体"/>
          <w:color w:val="auto"/>
          <w:sz w:val="24"/>
        </w:rPr>
        <w:t>1、评审工作结束，由采购人现场确认后，采购人在重庆市政府采购网和重庆市公共资源交易网（北碚区）对成交结果进行公告。</w:t>
      </w:r>
    </w:p>
    <w:p>
      <w:pPr>
        <w:pStyle w:val="31"/>
        <w:spacing w:line="276" w:lineRule="auto"/>
        <w:ind w:firstLine="480" w:firstLineChars="200"/>
        <w:rPr>
          <w:rFonts w:hint="eastAsia" w:hAnsi="宋体"/>
          <w:color w:val="auto"/>
          <w:sz w:val="24"/>
        </w:rPr>
      </w:pPr>
      <w:r>
        <w:rPr>
          <w:rFonts w:hint="eastAsia" w:hAnsi="宋体"/>
          <w:color w:val="auto"/>
          <w:sz w:val="24"/>
        </w:rPr>
        <w:t>2、公告内容包括招标项目名称和项目编号，评标委员会成员名单，采购人和采购人名称、地址、联系方式，成交供应商的情况（包含成交供应商地址，成交价格，服务期或实施时间）。</w:t>
      </w:r>
    </w:p>
    <w:p>
      <w:pPr>
        <w:pStyle w:val="31"/>
        <w:spacing w:line="276" w:lineRule="auto"/>
        <w:ind w:firstLine="480" w:firstLineChars="200"/>
        <w:rPr>
          <w:rFonts w:hint="eastAsia" w:hAnsi="宋体"/>
          <w:color w:val="auto"/>
          <w:sz w:val="24"/>
        </w:rPr>
      </w:pPr>
      <w:r>
        <w:rPr>
          <w:rFonts w:hint="eastAsia" w:hAnsi="宋体"/>
          <w:color w:val="auto"/>
          <w:sz w:val="24"/>
        </w:rPr>
        <w:t>3、如有供应商对评标结果提出质疑的，在质疑处理完毕后发出中标通知书。</w:t>
      </w:r>
    </w:p>
    <w:p>
      <w:pPr>
        <w:pStyle w:val="31"/>
        <w:spacing w:line="276" w:lineRule="auto"/>
        <w:ind w:firstLine="480" w:firstLineChars="200"/>
        <w:rPr>
          <w:rFonts w:hint="eastAsia" w:hAnsi="宋体"/>
          <w:color w:val="auto"/>
          <w:sz w:val="24"/>
        </w:rPr>
      </w:pPr>
      <w:r>
        <w:rPr>
          <w:rFonts w:hint="eastAsia" w:hAnsi="宋体"/>
          <w:color w:val="auto"/>
          <w:sz w:val="24"/>
        </w:rPr>
        <w:t>4、成交供应商变更</w:t>
      </w:r>
    </w:p>
    <w:p>
      <w:pPr>
        <w:pStyle w:val="31"/>
        <w:spacing w:line="276" w:lineRule="auto"/>
        <w:ind w:firstLine="480" w:firstLineChars="200"/>
        <w:rPr>
          <w:rFonts w:hint="eastAsia" w:hAnsi="宋体"/>
          <w:color w:val="auto"/>
          <w:sz w:val="24"/>
        </w:rPr>
      </w:pPr>
      <w:r>
        <w:rPr>
          <w:rFonts w:hint="eastAsia" w:hAnsi="宋体"/>
          <w:color w:val="auto"/>
          <w:sz w:val="24"/>
        </w:rPr>
        <w:t>4.1成交供应商拒绝与采购人签订合同的，采购人可以按照评审报告推荐的中标候选人名单排序，确定下一候选人为成交供应商，也可以重新开展政府采购活动。</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4.2成交供应商无充分理由放弃的，采购人将会同采购代理机构把相关情况报财政部门，财政部门将根据相关规定对违规供应商进行处罚。</w:t>
      </w:r>
    </w:p>
    <w:p>
      <w:pPr>
        <w:pStyle w:val="3"/>
        <w:spacing w:line="276" w:lineRule="auto"/>
        <w:ind w:firstLine="482" w:firstLineChars="200"/>
        <w:rPr>
          <w:rFonts w:hint="eastAsia"/>
          <w:b/>
          <w:color w:val="auto"/>
          <w:sz w:val="24"/>
        </w:rPr>
      </w:pPr>
      <w:bookmarkStart w:id="49" w:name="_Toc441065685"/>
      <w:bookmarkStart w:id="50" w:name="_Toc11843"/>
      <w:r>
        <w:rPr>
          <w:rFonts w:hint="eastAsia"/>
          <w:b/>
          <w:color w:val="auto"/>
          <w:sz w:val="24"/>
        </w:rPr>
        <w:t>六、成交通知书</w:t>
      </w:r>
      <w:bookmarkEnd w:id="49"/>
      <w:bookmarkEnd w:id="50"/>
    </w:p>
    <w:p>
      <w:pPr>
        <w:ind w:firstLine="566" w:firstLineChars="236"/>
        <w:rPr>
          <w:rFonts w:hint="eastAsia" w:ascii="宋体" w:hAnsi="宋体"/>
          <w:color w:val="auto"/>
          <w:sz w:val="24"/>
        </w:rPr>
      </w:pPr>
      <w:r>
        <w:rPr>
          <w:rFonts w:hint="eastAsia" w:ascii="宋体" w:hAnsi="宋体"/>
          <w:color w:val="auto"/>
          <w:sz w:val="24"/>
        </w:rPr>
        <w:t>本项目不发成交通知书，公示期结束后无异议时，采购人直接通知拟中标人。</w:t>
      </w:r>
    </w:p>
    <w:p>
      <w:pPr>
        <w:pStyle w:val="3"/>
        <w:spacing w:line="276" w:lineRule="auto"/>
        <w:ind w:firstLine="482" w:firstLineChars="200"/>
        <w:rPr>
          <w:rFonts w:hint="eastAsia"/>
          <w:b/>
          <w:color w:val="auto"/>
          <w:sz w:val="24"/>
        </w:rPr>
      </w:pPr>
      <w:bookmarkStart w:id="51" w:name="_Toc441065686"/>
      <w:bookmarkStart w:id="52" w:name="_Toc32347"/>
      <w:r>
        <w:rPr>
          <w:rFonts w:hint="eastAsia"/>
          <w:b/>
          <w:color w:val="auto"/>
          <w:sz w:val="24"/>
        </w:rPr>
        <w:t>七、关于质疑和投诉</w:t>
      </w:r>
      <w:bookmarkEnd w:id="51"/>
      <w:bookmarkEnd w:id="52"/>
    </w:p>
    <w:p>
      <w:pPr>
        <w:spacing w:line="276" w:lineRule="auto"/>
        <w:ind w:right="12" w:firstLine="480"/>
        <w:rPr>
          <w:rFonts w:hint="eastAsia" w:ascii="宋体" w:hAnsi="宋体"/>
          <w:color w:val="auto"/>
          <w:sz w:val="24"/>
        </w:rPr>
      </w:pPr>
      <w:r>
        <w:rPr>
          <w:rFonts w:hint="eastAsia" w:ascii="宋体" w:hAnsi="宋体"/>
          <w:color w:val="auto"/>
          <w:sz w:val="24"/>
        </w:rPr>
        <w:t>（一）质疑内容、时限</w:t>
      </w:r>
    </w:p>
    <w:p>
      <w:pPr>
        <w:spacing w:line="276" w:lineRule="auto"/>
        <w:ind w:right="12" w:firstLine="480"/>
        <w:rPr>
          <w:rFonts w:hint="eastAsia" w:ascii="宋体" w:hAnsi="宋体"/>
          <w:color w:val="auto"/>
          <w:sz w:val="24"/>
        </w:rPr>
      </w:pPr>
      <w:r>
        <w:rPr>
          <w:rFonts w:hint="eastAsia" w:ascii="宋体" w:hAnsi="宋体"/>
          <w:color w:val="auto"/>
          <w:sz w:val="24"/>
        </w:rPr>
        <w:t>1、供应商对成交结果有异议的，应当在成交结果发布之日起七个工作日内以书面形式向采购人提出质疑，并附相关证明材料。</w:t>
      </w:r>
    </w:p>
    <w:p>
      <w:pPr>
        <w:spacing w:line="276" w:lineRule="auto"/>
        <w:ind w:right="12" w:firstLine="480"/>
        <w:rPr>
          <w:rFonts w:hint="eastAsia" w:ascii="宋体" w:hAnsi="宋体"/>
          <w:color w:val="auto"/>
          <w:sz w:val="24"/>
        </w:rPr>
      </w:pPr>
      <w:r>
        <w:rPr>
          <w:rFonts w:hint="eastAsia" w:ascii="宋体" w:hAnsi="宋体"/>
          <w:color w:val="auto"/>
          <w:sz w:val="24"/>
        </w:rPr>
        <w:t>2、供应商对采购文件中供应商特定资格条件、技术质量和商务要求、评审标准及评审细则有异议的，应向采购人提出质疑。</w:t>
      </w:r>
    </w:p>
    <w:p>
      <w:pPr>
        <w:spacing w:line="276" w:lineRule="auto"/>
        <w:ind w:right="12" w:firstLine="480"/>
        <w:rPr>
          <w:rFonts w:hint="eastAsia" w:ascii="宋体" w:hAnsi="宋体"/>
          <w:color w:val="auto"/>
          <w:sz w:val="24"/>
        </w:rPr>
      </w:pPr>
      <w:r>
        <w:rPr>
          <w:rFonts w:hint="eastAsia" w:ascii="宋体" w:hAnsi="宋体"/>
          <w:color w:val="auto"/>
          <w:sz w:val="24"/>
        </w:rPr>
        <w:t>（二）质疑答复时限</w:t>
      </w:r>
    </w:p>
    <w:p>
      <w:pPr>
        <w:spacing w:line="276" w:lineRule="auto"/>
        <w:ind w:right="12" w:firstLine="480"/>
        <w:rPr>
          <w:rFonts w:hint="eastAsia" w:ascii="宋体" w:hAnsi="宋体"/>
          <w:color w:val="auto"/>
          <w:sz w:val="24"/>
        </w:rPr>
      </w:pPr>
      <w:r>
        <w:rPr>
          <w:rFonts w:hint="eastAsia" w:ascii="宋体" w:hAnsi="宋体"/>
          <w:color w:val="auto"/>
          <w:sz w:val="24"/>
        </w:rPr>
        <w:t>采购人在收到供应商书面质疑后七个工作日内，对质疑内容作出答复。</w:t>
      </w:r>
    </w:p>
    <w:p>
      <w:pPr>
        <w:spacing w:line="276" w:lineRule="auto"/>
        <w:ind w:right="12" w:firstLine="480"/>
        <w:rPr>
          <w:rFonts w:hint="eastAsia" w:ascii="宋体" w:hAnsi="宋体"/>
          <w:color w:val="auto"/>
          <w:sz w:val="24"/>
        </w:rPr>
      </w:pPr>
      <w:r>
        <w:rPr>
          <w:rFonts w:hint="eastAsia" w:ascii="宋体" w:hAnsi="宋体"/>
          <w:color w:val="auto"/>
          <w:sz w:val="24"/>
        </w:rPr>
        <w:t>（三）不予受理或暂缓受理</w:t>
      </w:r>
    </w:p>
    <w:p>
      <w:pPr>
        <w:spacing w:line="276" w:lineRule="auto"/>
        <w:ind w:right="12" w:firstLine="480"/>
        <w:rPr>
          <w:rFonts w:hint="eastAsia" w:ascii="宋体" w:hAnsi="宋体"/>
          <w:color w:val="auto"/>
          <w:sz w:val="24"/>
        </w:rPr>
      </w:pPr>
      <w:r>
        <w:rPr>
          <w:rFonts w:hint="eastAsia" w:ascii="宋体" w:hAnsi="宋体"/>
          <w:color w:val="auto"/>
          <w:sz w:val="24"/>
        </w:rPr>
        <w:t>1、质疑有下列情形之一的，不予受理：</w:t>
      </w:r>
    </w:p>
    <w:p>
      <w:pPr>
        <w:spacing w:line="276" w:lineRule="auto"/>
        <w:ind w:right="12" w:firstLine="480"/>
        <w:rPr>
          <w:rFonts w:hint="eastAsia" w:ascii="宋体" w:hAnsi="宋体"/>
          <w:color w:val="auto"/>
          <w:sz w:val="24"/>
        </w:rPr>
      </w:pPr>
      <w:r>
        <w:rPr>
          <w:rFonts w:hint="eastAsia" w:ascii="宋体" w:hAnsi="宋体"/>
          <w:color w:val="auto"/>
          <w:sz w:val="24"/>
        </w:rPr>
        <w:t>1.1质疑供应商参与了磋商活动后，再对磋商文件内容提出质疑的；</w:t>
      </w:r>
    </w:p>
    <w:p>
      <w:pPr>
        <w:spacing w:line="276" w:lineRule="auto"/>
        <w:ind w:right="12" w:firstLine="480"/>
        <w:rPr>
          <w:rFonts w:hint="eastAsia" w:ascii="宋体" w:hAnsi="宋体"/>
          <w:color w:val="auto"/>
          <w:sz w:val="24"/>
        </w:rPr>
      </w:pPr>
      <w:r>
        <w:rPr>
          <w:rFonts w:hint="eastAsia" w:ascii="宋体" w:hAnsi="宋体"/>
          <w:color w:val="auto"/>
          <w:sz w:val="24"/>
        </w:rPr>
        <w:t>1.2质疑超过有效期的；</w:t>
      </w:r>
    </w:p>
    <w:p>
      <w:pPr>
        <w:spacing w:line="276" w:lineRule="auto"/>
        <w:ind w:right="12" w:firstLine="480"/>
        <w:rPr>
          <w:rFonts w:hint="eastAsia" w:ascii="宋体" w:hAnsi="宋体"/>
          <w:color w:val="auto"/>
          <w:sz w:val="24"/>
        </w:rPr>
      </w:pPr>
      <w:r>
        <w:rPr>
          <w:rFonts w:hint="eastAsia" w:ascii="宋体" w:hAnsi="宋体"/>
          <w:color w:val="auto"/>
          <w:sz w:val="24"/>
        </w:rPr>
        <w:t>1.3对同一事项重复质疑的。</w:t>
      </w:r>
    </w:p>
    <w:p>
      <w:pPr>
        <w:spacing w:line="276" w:lineRule="auto"/>
        <w:ind w:right="12" w:firstLine="480"/>
        <w:rPr>
          <w:rFonts w:hint="eastAsia" w:ascii="宋体" w:hAnsi="宋体"/>
          <w:color w:val="auto"/>
          <w:sz w:val="24"/>
        </w:rPr>
      </w:pPr>
      <w:r>
        <w:rPr>
          <w:rFonts w:hint="eastAsia" w:ascii="宋体" w:hAnsi="宋体"/>
          <w:color w:val="auto"/>
          <w:sz w:val="24"/>
        </w:rPr>
        <w:t>2、质疑有下列情形之一的，应暂不受理并告知供应商补充材料。供应商及时补充材料的，应予受理；逾期未补充的，不予受理：</w:t>
      </w:r>
    </w:p>
    <w:p>
      <w:pPr>
        <w:spacing w:line="276" w:lineRule="auto"/>
        <w:ind w:right="12" w:firstLine="480"/>
        <w:rPr>
          <w:rFonts w:hint="eastAsia" w:ascii="宋体" w:hAnsi="宋体"/>
          <w:color w:val="auto"/>
          <w:sz w:val="24"/>
        </w:rPr>
      </w:pPr>
      <w:r>
        <w:rPr>
          <w:rFonts w:hint="eastAsia" w:ascii="宋体" w:hAnsi="宋体"/>
          <w:color w:val="auto"/>
          <w:sz w:val="24"/>
        </w:rPr>
        <w:t>2.1质疑书格式和内容不符合国家或重庆市相关规定的；</w:t>
      </w:r>
    </w:p>
    <w:p>
      <w:pPr>
        <w:spacing w:line="276" w:lineRule="auto"/>
        <w:ind w:right="12" w:firstLine="480"/>
        <w:rPr>
          <w:rFonts w:hint="eastAsia" w:ascii="宋体" w:hAnsi="宋体"/>
          <w:color w:val="auto"/>
          <w:sz w:val="24"/>
        </w:rPr>
      </w:pPr>
      <w:r>
        <w:rPr>
          <w:rFonts w:hint="eastAsia" w:ascii="宋体" w:hAnsi="宋体"/>
          <w:color w:val="auto"/>
          <w:sz w:val="24"/>
        </w:rPr>
        <w:t>2.2质疑书提供的依据或证明材料不全的；</w:t>
      </w:r>
    </w:p>
    <w:p>
      <w:pPr>
        <w:spacing w:line="276" w:lineRule="auto"/>
        <w:ind w:right="12" w:firstLine="480"/>
        <w:rPr>
          <w:rFonts w:hint="eastAsia" w:ascii="宋体" w:hAnsi="宋体"/>
          <w:color w:val="auto"/>
          <w:sz w:val="24"/>
        </w:rPr>
      </w:pPr>
      <w:r>
        <w:rPr>
          <w:rFonts w:hint="eastAsia" w:ascii="宋体" w:hAnsi="宋体"/>
          <w:color w:val="auto"/>
          <w:sz w:val="24"/>
        </w:rPr>
        <w:t>2.3质疑书副本数量不足的。</w:t>
      </w:r>
    </w:p>
    <w:p>
      <w:pPr>
        <w:spacing w:line="276" w:lineRule="auto"/>
        <w:ind w:right="12" w:firstLine="480"/>
        <w:rPr>
          <w:rFonts w:hint="eastAsia" w:ascii="宋体" w:hAnsi="宋体"/>
          <w:color w:val="auto"/>
          <w:sz w:val="24"/>
        </w:rPr>
      </w:pPr>
      <w:r>
        <w:rPr>
          <w:rFonts w:hint="eastAsia" w:ascii="宋体" w:hAnsi="宋体"/>
          <w:color w:val="auto"/>
          <w:sz w:val="24"/>
        </w:rPr>
        <w:t>（四）投诉</w:t>
      </w:r>
    </w:p>
    <w:p>
      <w:pPr>
        <w:spacing w:line="276" w:lineRule="auto"/>
        <w:ind w:right="12" w:firstLine="480"/>
        <w:rPr>
          <w:rFonts w:hint="eastAsia" w:ascii="宋体" w:hAnsi="宋体"/>
          <w:color w:val="auto"/>
          <w:sz w:val="24"/>
        </w:rPr>
      </w:pPr>
      <w:r>
        <w:rPr>
          <w:rFonts w:hint="eastAsia" w:ascii="宋体" w:hAnsi="宋体"/>
          <w:color w:val="auto"/>
          <w:sz w:val="24"/>
        </w:rPr>
        <w:t>1、供应商对采购人的答复不满意，或者采购人未在规定时间内答复的，可在答复期满后十五个工作日内按有关规定，向同级财政部门投诉。</w:t>
      </w:r>
    </w:p>
    <w:p>
      <w:pPr>
        <w:spacing w:line="276" w:lineRule="auto"/>
        <w:ind w:right="12" w:firstLine="480"/>
        <w:rPr>
          <w:rFonts w:hint="eastAsia" w:ascii="宋体" w:hAnsi="宋体"/>
          <w:color w:val="auto"/>
          <w:sz w:val="24"/>
        </w:rPr>
      </w:pPr>
      <w:r>
        <w:rPr>
          <w:rFonts w:hint="eastAsia" w:ascii="宋体" w:hAnsi="宋体"/>
          <w:color w:val="auto"/>
          <w:sz w:val="24"/>
        </w:rPr>
        <w:t>2、在提出投诉时，应附送相关证明材料。投诉书及证明材料为外文的，应同时提供其中文译本；中文与外文意思不一致的，以中文为准。</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3"/>
        <w:spacing w:line="276" w:lineRule="auto"/>
        <w:ind w:firstLine="482" w:firstLineChars="200"/>
        <w:rPr>
          <w:rFonts w:hint="eastAsia"/>
          <w:b/>
          <w:color w:val="auto"/>
          <w:sz w:val="24"/>
        </w:rPr>
      </w:pPr>
      <w:bookmarkStart w:id="53" w:name="_Toc441065689"/>
      <w:bookmarkStart w:id="54" w:name="_Toc3501"/>
      <w:r>
        <w:rPr>
          <w:rFonts w:hint="eastAsia"/>
          <w:b/>
          <w:color w:val="auto"/>
          <w:sz w:val="24"/>
        </w:rPr>
        <w:t>八、签订合同</w:t>
      </w:r>
      <w:bookmarkEnd w:id="53"/>
      <w:bookmarkEnd w:id="54"/>
    </w:p>
    <w:p>
      <w:pPr>
        <w:spacing w:line="276" w:lineRule="auto"/>
        <w:ind w:firstLine="480" w:firstLineChars="200"/>
        <w:rPr>
          <w:rFonts w:hint="eastAsia" w:ascii="宋体" w:hAnsi="宋体"/>
          <w:color w:val="auto"/>
          <w:sz w:val="24"/>
        </w:rPr>
      </w:pPr>
      <w:r>
        <w:rPr>
          <w:rFonts w:hint="eastAsia" w:ascii="宋体" w:hAnsi="宋体"/>
          <w:color w:val="auto"/>
          <w:sz w:val="24"/>
        </w:rPr>
        <w:t>（一）采购人应当自成采购结果公示期结束之日起三十日内，按照磋商文件和成交供应商响应文件的约定，与成交供应商签订书面合同。所签订的合同不得对磋商文件和成交供应商响应文件作实质性修改。</w:t>
      </w:r>
    </w:p>
    <w:p>
      <w:pPr>
        <w:spacing w:line="276" w:lineRule="auto"/>
        <w:ind w:firstLine="480" w:firstLineChars="200"/>
        <w:rPr>
          <w:rFonts w:hint="eastAsia" w:ascii="宋体" w:hAnsi="宋体"/>
          <w:color w:val="auto"/>
          <w:sz w:val="24"/>
        </w:rPr>
      </w:pPr>
      <w:r>
        <w:rPr>
          <w:rFonts w:hint="eastAsia" w:ascii="宋体" w:hAnsi="宋体"/>
          <w:color w:val="auto"/>
          <w:sz w:val="24"/>
        </w:rPr>
        <w:t>（二）磋商文件、成交供应商的响应文件及澄清文件等，均为签订采购合同的依据。</w:t>
      </w:r>
    </w:p>
    <w:p>
      <w:pPr>
        <w:spacing w:line="276" w:lineRule="auto"/>
        <w:ind w:firstLine="480" w:firstLineChars="200"/>
        <w:rPr>
          <w:rFonts w:hint="eastAsia" w:ascii="宋体" w:hAnsi="宋体"/>
          <w:color w:val="auto"/>
          <w:sz w:val="24"/>
        </w:rPr>
      </w:pPr>
      <w:r>
        <w:rPr>
          <w:rFonts w:hint="eastAsia" w:ascii="宋体" w:hAnsi="宋体"/>
          <w:color w:val="auto"/>
          <w:sz w:val="24"/>
        </w:rPr>
        <w:t>（三）合同生效条款由供需双方约定，法律、行政法规规定应当办理批准、登记等手续后生效的合同，依照其规定。</w:t>
      </w:r>
    </w:p>
    <w:p>
      <w:pPr>
        <w:spacing w:line="276" w:lineRule="auto"/>
        <w:ind w:firstLine="480" w:firstLineChars="200"/>
        <w:rPr>
          <w:rFonts w:hint="eastAsia" w:ascii="宋体" w:hAnsi="宋体"/>
          <w:color w:val="auto"/>
          <w:sz w:val="24"/>
        </w:rPr>
      </w:pPr>
      <w:r>
        <w:rPr>
          <w:rFonts w:hint="eastAsia" w:ascii="宋体" w:hAnsi="宋体"/>
          <w:color w:val="auto"/>
          <w:sz w:val="24"/>
        </w:rPr>
        <w:t>（四）合同应按照</w:t>
      </w:r>
      <w:r>
        <w:rPr>
          <w:rFonts w:hint="eastAsia" w:ascii="宋体" w:hAnsi="宋体"/>
          <w:b/>
          <w:bCs/>
          <w:color w:val="auto"/>
          <w:sz w:val="24"/>
        </w:rPr>
        <w:t>本文件第五篇的内容签订、完善，未经采购人同意不得擅自更改</w:t>
      </w:r>
      <w:r>
        <w:rPr>
          <w:rFonts w:hint="eastAsia" w:ascii="宋体" w:hAnsi="宋体"/>
          <w:color w:val="auto"/>
          <w:sz w:val="24"/>
        </w:rPr>
        <w:t>。</w:t>
      </w:r>
    </w:p>
    <w:p>
      <w:pPr>
        <w:spacing w:line="276" w:lineRule="auto"/>
        <w:ind w:firstLine="480" w:firstLineChars="200"/>
        <w:rPr>
          <w:rFonts w:hint="eastAsia" w:ascii="宋体" w:hAnsi="宋体"/>
          <w:color w:val="auto"/>
          <w:sz w:val="24"/>
        </w:rPr>
      </w:pPr>
      <w:r>
        <w:rPr>
          <w:rFonts w:hint="eastAsia" w:ascii="宋体" w:hAnsi="宋体"/>
          <w:color w:val="auto"/>
          <w:sz w:val="24"/>
        </w:rPr>
        <w:t>（五）采购人要求成交供应商提供履约保证金的，应当在磋商文件中予以约定。成交供应商履约完毕后，采购人应于</w:t>
      </w:r>
      <w:r>
        <w:rPr>
          <w:rFonts w:hint="eastAsia" w:ascii="宋体" w:hAnsi="宋体"/>
          <w:b/>
          <w:bCs/>
          <w:color w:val="auto"/>
          <w:sz w:val="24"/>
        </w:rPr>
        <w:t>磋商文件中约定的时间内</w:t>
      </w:r>
      <w:r>
        <w:rPr>
          <w:rFonts w:hint="eastAsia" w:ascii="宋体" w:hAnsi="宋体"/>
          <w:color w:val="auto"/>
          <w:sz w:val="24"/>
        </w:rPr>
        <w:t>无息退还其履约保证金。</w:t>
      </w:r>
    </w:p>
    <w:p>
      <w:pPr>
        <w:spacing w:line="276" w:lineRule="auto"/>
        <w:ind w:right="12" w:firstLine="480"/>
        <w:rPr>
          <w:rFonts w:hint="eastAsia" w:ascii="宋体" w:hAnsi="宋体"/>
          <w:color w:val="auto"/>
          <w:sz w:val="24"/>
        </w:rPr>
      </w:pPr>
    </w:p>
    <w:p>
      <w:pPr>
        <w:pStyle w:val="2"/>
        <w:spacing w:before="0" w:beforeLines="0" w:after="0" w:afterLines="0" w:line="276" w:lineRule="auto"/>
        <w:rPr>
          <w:rFonts w:hint="eastAsia" w:ascii="宋体" w:hAnsi="宋体" w:eastAsia="宋体"/>
          <w:color w:val="auto"/>
        </w:rPr>
      </w:pPr>
      <w:r>
        <w:rPr>
          <w:rFonts w:ascii="宋体" w:hAnsi="宋体" w:eastAsia="宋体"/>
          <w:color w:val="auto"/>
        </w:rPr>
        <w:br w:type="page"/>
      </w:r>
      <w:bookmarkStart w:id="55" w:name="_Toc13978"/>
      <w:r>
        <w:rPr>
          <w:rFonts w:hint="eastAsia" w:ascii="宋体" w:hAnsi="宋体" w:eastAsia="宋体"/>
          <w:color w:val="auto"/>
        </w:rPr>
        <w:t>第五篇  合同</w:t>
      </w:r>
      <w:bookmarkEnd w:id="55"/>
    </w:p>
    <w:p>
      <w:pPr>
        <w:spacing w:line="440" w:lineRule="exact"/>
        <w:rPr>
          <w:rFonts w:hint="eastAsia" w:ascii="宋体" w:hAnsi="宋体"/>
          <w:color w:val="auto"/>
          <w:sz w:val="24"/>
          <w:szCs w:val="24"/>
        </w:rPr>
      </w:pPr>
    </w:p>
    <w:p>
      <w:pPr>
        <w:jc w:val="center"/>
        <w:rPr>
          <w:rFonts w:hint="eastAsia" w:ascii="宋体" w:hAnsi="宋体"/>
          <w:color w:val="auto"/>
          <w:sz w:val="36"/>
          <w:szCs w:val="36"/>
        </w:rPr>
      </w:pPr>
      <w:r>
        <w:rPr>
          <w:rFonts w:hint="eastAsia" w:ascii="宋体" w:hAnsi="宋体" w:eastAsia="宋体" w:cs="Times New Roman"/>
          <w:color w:val="auto"/>
          <w:sz w:val="36"/>
          <w:szCs w:val="36"/>
          <w:lang w:val="en-US" w:eastAsia="zh-CN"/>
        </w:rPr>
        <w:t>全息三维医学影像手术及治疗计划服务</w:t>
      </w:r>
      <w:r>
        <w:rPr>
          <w:rFonts w:hint="eastAsia" w:ascii="宋体" w:hAnsi="宋体"/>
          <w:color w:val="auto"/>
          <w:sz w:val="36"/>
          <w:szCs w:val="36"/>
        </w:rPr>
        <w:t>合同</w:t>
      </w:r>
    </w:p>
    <w:p>
      <w:pPr>
        <w:jc w:val="center"/>
        <w:rPr>
          <w:rFonts w:hint="eastAsia" w:ascii="宋体" w:hAnsi="宋体"/>
          <w:color w:val="auto"/>
          <w:sz w:val="36"/>
          <w:szCs w:val="36"/>
        </w:rPr>
      </w:pPr>
      <w:r>
        <w:rPr>
          <w:rFonts w:hint="eastAsia" w:ascii="宋体" w:hAnsi="宋体"/>
          <w:color w:val="auto"/>
          <w:sz w:val="36"/>
          <w:szCs w:val="36"/>
        </w:rPr>
        <w:t>（</w:t>
      </w:r>
      <w:r>
        <w:rPr>
          <w:rFonts w:hint="eastAsia" w:ascii="宋体" w:hAnsi="宋体"/>
          <w:color w:val="auto"/>
          <w:sz w:val="24"/>
          <w:szCs w:val="24"/>
        </w:rPr>
        <w:t>政采编号：2021JYXX-</w:t>
      </w:r>
      <w:r>
        <w:rPr>
          <w:rFonts w:hint="eastAsia" w:ascii="宋体" w:hAnsi="宋体"/>
          <w:color w:val="auto"/>
          <w:sz w:val="24"/>
          <w:szCs w:val="24"/>
          <w:lang w:val="en-US" w:eastAsia="zh-CN"/>
        </w:rPr>
        <w:t>45</w:t>
      </w:r>
      <w:r>
        <w:rPr>
          <w:rFonts w:hint="eastAsia" w:ascii="宋体" w:hAnsi="宋体"/>
          <w:color w:val="auto"/>
          <w:sz w:val="36"/>
          <w:szCs w:val="36"/>
        </w:rPr>
        <w:t>）</w:t>
      </w:r>
    </w:p>
    <w:p>
      <w:pPr>
        <w:rPr>
          <w:rFonts w:hint="eastAsia" w:ascii="宋体" w:hAnsi="宋体"/>
          <w:color w:val="auto"/>
          <w:sz w:val="24"/>
          <w:szCs w:val="24"/>
        </w:rPr>
      </w:pPr>
    </w:p>
    <w:p>
      <w:pPr>
        <w:rPr>
          <w:rFonts w:hint="eastAsia"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甲方：</w:t>
      </w:r>
      <w:r>
        <w:rPr>
          <w:rFonts w:hint="eastAsia" w:ascii="宋体" w:hAnsi="宋体"/>
          <w:color w:val="auto"/>
          <w:sz w:val="24"/>
          <w:szCs w:val="24"/>
          <w:u w:val="single"/>
        </w:rPr>
        <w:t xml:space="preserve">  重庆市第九人民医院  </w:t>
      </w:r>
    </w:p>
    <w:p>
      <w:pPr>
        <w:rPr>
          <w:rFonts w:hint="eastAsia" w:ascii="宋体" w:hAnsi="宋体"/>
          <w:color w:val="auto"/>
          <w:sz w:val="24"/>
          <w:szCs w:val="24"/>
        </w:rPr>
      </w:pPr>
      <w:r>
        <w:rPr>
          <w:rFonts w:hint="eastAsia" w:ascii="宋体" w:hAnsi="宋体"/>
          <w:color w:val="auto"/>
          <w:sz w:val="24"/>
          <w:szCs w:val="24"/>
        </w:rPr>
        <w:t>乙方：</w:t>
      </w:r>
      <w:r>
        <w:rPr>
          <w:rFonts w:hint="eastAsia" w:ascii="宋体" w:hAnsi="宋体"/>
          <w:color w:val="auto"/>
          <w:sz w:val="24"/>
          <w:szCs w:val="24"/>
          <w:u w:val="single"/>
        </w:rPr>
        <w:t xml:space="preserve">                      </w:t>
      </w:r>
    </w:p>
    <w:p>
      <w:pPr>
        <w:rPr>
          <w:rFonts w:ascii="宋体" w:hAnsi="宋体"/>
          <w:color w:val="auto"/>
          <w:sz w:val="24"/>
          <w:szCs w:val="24"/>
        </w:rPr>
      </w:pPr>
    </w:p>
    <w:p>
      <w:pPr>
        <w:ind w:firstLine="690"/>
        <w:rPr>
          <w:rFonts w:ascii="宋体" w:hAnsi="宋体"/>
          <w:color w:val="auto"/>
          <w:sz w:val="24"/>
          <w:szCs w:val="24"/>
        </w:rPr>
      </w:pPr>
      <w:r>
        <w:rPr>
          <w:rFonts w:hint="eastAsia" w:ascii="宋体" w:hAnsi="宋体"/>
          <w:color w:val="auto"/>
          <w:sz w:val="24"/>
          <w:szCs w:val="24"/>
        </w:rPr>
        <w:t>根据《中华人民共和国</w:t>
      </w:r>
      <w:r>
        <w:rPr>
          <w:rFonts w:hint="eastAsia" w:ascii="宋体" w:hAnsi="宋体"/>
          <w:color w:val="auto"/>
          <w:sz w:val="24"/>
          <w:szCs w:val="24"/>
          <w:lang w:eastAsia="zh-CN"/>
        </w:rPr>
        <w:t>民法典</w:t>
      </w:r>
      <w:r>
        <w:rPr>
          <w:rFonts w:hint="eastAsia" w:ascii="宋体" w:hAnsi="宋体"/>
          <w:color w:val="auto"/>
          <w:sz w:val="24"/>
          <w:szCs w:val="24"/>
        </w:rPr>
        <w:t>》和《中华人民共和国政府采购法》等有关规定。为保证所购的服务质量，明确双方的权利义务，甲乙双方在平等、自愿、协商一致的基础上，就有关事宜达成如下协议：</w:t>
      </w:r>
    </w:p>
    <w:p>
      <w:pPr>
        <w:spacing w:before="120" w:beforeLines="50"/>
        <w:rPr>
          <w:rFonts w:ascii="宋体" w:hAnsi="宋体"/>
          <w:b/>
          <w:color w:val="auto"/>
          <w:sz w:val="24"/>
          <w:szCs w:val="24"/>
        </w:rPr>
      </w:pPr>
      <w:r>
        <w:rPr>
          <w:rFonts w:hint="eastAsia" w:ascii="宋体" w:hAnsi="宋体"/>
          <w:b/>
          <w:color w:val="auto"/>
          <w:sz w:val="24"/>
          <w:szCs w:val="24"/>
        </w:rPr>
        <w:t>第一条：合同范围</w:t>
      </w:r>
    </w:p>
    <w:p>
      <w:pPr>
        <w:spacing w:line="400" w:lineRule="exact"/>
        <w:ind w:firstLine="480" w:firstLineChars="200"/>
        <w:rPr>
          <w:rFonts w:ascii="宋体" w:hAnsi="宋体" w:cs="方正仿宋_GBK"/>
          <w:color w:val="auto"/>
          <w:sz w:val="24"/>
          <w:szCs w:val="24"/>
        </w:rPr>
      </w:pPr>
      <w:r>
        <w:rPr>
          <w:rFonts w:hint="eastAsia" w:ascii="宋体" w:hAnsi="宋体" w:cs="方正仿宋_GBK"/>
          <w:color w:val="auto"/>
          <w:sz w:val="24"/>
          <w:szCs w:val="24"/>
        </w:rPr>
        <w:t>1、项目名称：</w:t>
      </w:r>
      <w:r>
        <w:rPr>
          <w:rFonts w:hint="eastAsia" w:ascii="宋体" w:hAnsi="宋体" w:eastAsia="宋体" w:cs="Times New Roman"/>
          <w:color w:val="auto"/>
          <w:kern w:val="2"/>
          <w:sz w:val="24"/>
          <w:szCs w:val="24"/>
          <w:lang w:val="en-US" w:eastAsia="zh-CN" w:bidi="ar-SA"/>
        </w:rPr>
        <w:t>全息三维医学影像手术及治疗计划服务</w:t>
      </w:r>
    </w:p>
    <w:p>
      <w:pPr>
        <w:spacing w:line="400" w:lineRule="exact"/>
        <w:ind w:firstLine="480" w:firstLineChars="200"/>
        <w:rPr>
          <w:rFonts w:ascii="宋体" w:hAnsi="宋体" w:cs="方正仿宋_GBK"/>
          <w:color w:val="auto"/>
          <w:sz w:val="24"/>
          <w:szCs w:val="24"/>
        </w:rPr>
      </w:pPr>
      <w:r>
        <w:rPr>
          <w:rFonts w:hint="eastAsia" w:ascii="宋体" w:hAnsi="宋体" w:cs="方正仿宋_GBK"/>
          <w:color w:val="auto"/>
          <w:sz w:val="24"/>
          <w:szCs w:val="24"/>
        </w:rPr>
        <w:t>2、项目范围或内容：见合同附件</w:t>
      </w:r>
    </w:p>
    <w:p>
      <w:pPr>
        <w:spacing w:before="120" w:beforeLines="50"/>
        <w:rPr>
          <w:rFonts w:ascii="宋体" w:hAnsi="宋体"/>
          <w:b/>
          <w:color w:val="auto"/>
          <w:sz w:val="24"/>
          <w:szCs w:val="24"/>
        </w:rPr>
      </w:pPr>
      <w:r>
        <w:rPr>
          <w:rFonts w:hint="eastAsia" w:ascii="宋体" w:hAnsi="宋体"/>
          <w:b/>
          <w:color w:val="auto"/>
          <w:sz w:val="24"/>
          <w:szCs w:val="24"/>
        </w:rPr>
        <w:t>第二条：</w:t>
      </w:r>
      <w:r>
        <w:rPr>
          <w:rFonts w:hint="eastAsia" w:ascii="宋体" w:hAnsi="宋体" w:cs="仿宋"/>
          <w:b/>
          <w:color w:val="auto"/>
          <w:sz w:val="24"/>
        </w:rPr>
        <w:t>合同金额及付款方式</w:t>
      </w:r>
    </w:p>
    <w:p>
      <w:pPr>
        <w:ind w:firstLine="480" w:firstLineChars="200"/>
        <w:rPr>
          <w:rFonts w:hint="eastAsia" w:ascii="宋体" w:hAnsi="宋体" w:cs="仿宋"/>
          <w:color w:val="auto"/>
          <w:sz w:val="24"/>
          <w:u w:val="single"/>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服务单价：</w:t>
      </w:r>
      <w:r>
        <w:rPr>
          <w:rFonts w:hint="eastAsia" w:ascii="宋体" w:hAnsi="宋体" w:eastAsia="宋体" w:cs="Times New Roman"/>
          <w:color w:val="auto"/>
          <w:sz w:val="24"/>
          <w:szCs w:val="24"/>
          <w:u w:val="single"/>
          <w:lang w:val="en-US" w:eastAsia="zh-CN"/>
        </w:rPr>
        <w:t xml:space="preserve">       </w:t>
      </w:r>
      <w:r>
        <w:rPr>
          <w:rFonts w:hint="eastAsia" w:ascii="宋体" w:hAnsi="宋体" w:eastAsia="宋体" w:cs="Times New Roman"/>
          <w:color w:val="auto"/>
          <w:sz w:val="24"/>
          <w:szCs w:val="24"/>
          <w:lang w:val="en-US" w:eastAsia="zh-CN"/>
        </w:rPr>
        <w:t>元/次，</w:t>
      </w:r>
      <w:r>
        <w:rPr>
          <w:rFonts w:hint="eastAsia" w:ascii="宋体" w:hAnsi="宋体" w:eastAsia="宋体" w:cs="Times New Roman"/>
          <w:color w:val="auto"/>
          <w:sz w:val="24"/>
          <w:szCs w:val="24"/>
        </w:rPr>
        <w:t>合同</w:t>
      </w:r>
      <w:r>
        <w:rPr>
          <w:rFonts w:hint="eastAsia" w:ascii="宋体" w:hAnsi="宋体" w:eastAsia="宋体" w:cs="Times New Roman"/>
          <w:color w:val="auto"/>
          <w:sz w:val="24"/>
          <w:szCs w:val="24"/>
          <w:lang w:eastAsia="zh-CN"/>
        </w:rPr>
        <w:t>总价</w:t>
      </w:r>
      <w:r>
        <w:rPr>
          <w:rFonts w:hint="eastAsia" w:ascii="宋体" w:hAnsi="宋体" w:cs="仿宋"/>
          <w:color w:val="auto"/>
          <w:sz w:val="24"/>
        </w:rPr>
        <w:t>：</w:t>
      </w:r>
      <w:r>
        <w:rPr>
          <w:rFonts w:hint="eastAsia" w:ascii="宋体" w:hAnsi="宋体" w:cs="仿宋"/>
          <w:color w:val="auto"/>
          <w:sz w:val="24"/>
          <w:u w:val="single"/>
        </w:rPr>
        <w:t xml:space="preserve">      </w:t>
      </w:r>
      <w:r>
        <w:rPr>
          <w:rFonts w:hint="eastAsia" w:ascii="宋体" w:hAnsi="宋体" w:cs="仿宋"/>
          <w:color w:val="auto"/>
          <w:sz w:val="24"/>
        </w:rPr>
        <w:t>元，大写：</w:t>
      </w:r>
      <w:r>
        <w:rPr>
          <w:rFonts w:hint="eastAsia" w:ascii="宋体" w:hAnsi="宋体" w:cs="仿宋"/>
          <w:color w:val="auto"/>
          <w:sz w:val="24"/>
          <w:u w:val="single"/>
        </w:rPr>
        <w:t xml:space="preserve">                    </w:t>
      </w:r>
    </w:p>
    <w:p>
      <w:pPr>
        <w:ind w:firstLine="480" w:firstLineChars="200"/>
        <w:rPr>
          <w:rFonts w:hint="eastAsia" w:ascii="宋体" w:hAnsi="宋体"/>
          <w:color w:val="auto"/>
          <w:sz w:val="24"/>
          <w:szCs w:val="24"/>
        </w:rPr>
      </w:pPr>
      <w:r>
        <w:rPr>
          <w:rFonts w:hint="eastAsia" w:ascii="宋体" w:hAnsi="宋体"/>
          <w:color w:val="auto"/>
          <w:sz w:val="24"/>
          <w:szCs w:val="24"/>
        </w:rPr>
        <w:t>2、</w:t>
      </w:r>
      <w:r>
        <w:rPr>
          <w:rFonts w:ascii="宋体" w:hAnsi="宋体"/>
          <w:color w:val="auto"/>
          <w:sz w:val="24"/>
          <w:szCs w:val="24"/>
        </w:rPr>
        <w:t>签订合同前，</w:t>
      </w:r>
      <w:r>
        <w:rPr>
          <w:rFonts w:hint="eastAsia" w:ascii="宋体" w:hAnsi="宋体"/>
          <w:color w:val="auto"/>
          <w:sz w:val="24"/>
          <w:szCs w:val="24"/>
        </w:rPr>
        <w:t>乙方</w:t>
      </w:r>
      <w:r>
        <w:rPr>
          <w:rFonts w:ascii="宋体" w:hAnsi="宋体"/>
          <w:color w:val="auto"/>
          <w:sz w:val="24"/>
          <w:szCs w:val="24"/>
        </w:rPr>
        <w:t>向甲方合同中约定账户转账支付中标金额的</w:t>
      </w:r>
      <w:r>
        <w:rPr>
          <w:rFonts w:hint="eastAsia" w:ascii="宋体" w:hAnsi="宋体"/>
          <w:color w:val="auto"/>
          <w:sz w:val="24"/>
          <w:szCs w:val="24"/>
          <w:lang w:val="en-US" w:eastAsia="zh-CN"/>
        </w:rPr>
        <w:t>5</w:t>
      </w:r>
      <w:r>
        <w:rPr>
          <w:rFonts w:ascii="宋体" w:hAnsi="宋体"/>
          <w:color w:val="auto"/>
          <w:sz w:val="24"/>
          <w:szCs w:val="24"/>
        </w:rPr>
        <w:t>%作为履约保证金</w:t>
      </w:r>
      <w:r>
        <w:rPr>
          <w:rFonts w:hint="eastAsia" w:ascii="宋体" w:hAnsi="宋体"/>
          <w:color w:val="auto"/>
          <w:sz w:val="24"/>
          <w:szCs w:val="24"/>
        </w:rPr>
        <w:t>，履约完毕且无待处理问题后15个工作日内甲方一次性无息退还。</w:t>
      </w:r>
    </w:p>
    <w:p>
      <w:pPr>
        <w:ind w:firstLine="480" w:firstLineChars="200"/>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rPr>
        <w:t>3、</w:t>
      </w:r>
      <w:r>
        <w:rPr>
          <w:rFonts w:hint="eastAsia" w:ascii="宋体" w:hAnsi="宋体" w:eastAsia="宋体" w:cs="Times New Roman"/>
          <w:color w:val="auto"/>
          <w:sz w:val="24"/>
          <w:szCs w:val="24"/>
          <w:lang w:eastAsia="zh-CN"/>
        </w:rPr>
        <w:t>每</w:t>
      </w:r>
      <w:r>
        <w:rPr>
          <w:rFonts w:hint="eastAsia" w:ascii="宋体" w:hAnsi="宋体" w:eastAsia="宋体" w:cs="Times New Roman"/>
          <w:color w:val="auto"/>
          <w:sz w:val="24"/>
          <w:szCs w:val="24"/>
          <w:lang w:val="en-US" w:eastAsia="zh-CN"/>
        </w:rPr>
        <w:t>3个月</w:t>
      </w:r>
      <w:r>
        <w:rPr>
          <w:rFonts w:hint="eastAsia" w:ascii="宋体" w:hAnsi="宋体" w:eastAsia="宋体" w:cs="Times New Roman"/>
          <w:color w:val="auto"/>
          <w:sz w:val="24"/>
          <w:szCs w:val="24"/>
          <w:lang w:eastAsia="zh-CN"/>
        </w:rPr>
        <w:t>按验收合格次数和中标单价汇总结算并付款一次；采购人</w:t>
      </w:r>
      <w:r>
        <w:rPr>
          <w:rFonts w:hint="eastAsia" w:ascii="宋体" w:hAnsi="宋体" w:eastAsia="宋体" w:cs="Times New Roman"/>
          <w:color w:val="auto"/>
          <w:sz w:val="24"/>
          <w:szCs w:val="24"/>
        </w:rPr>
        <w:t>凭发票、合同、验收</w:t>
      </w:r>
      <w:r>
        <w:rPr>
          <w:rFonts w:hint="eastAsia" w:ascii="宋体" w:hAnsi="宋体" w:eastAsia="宋体" w:cs="Times New Roman"/>
          <w:color w:val="auto"/>
          <w:sz w:val="24"/>
          <w:szCs w:val="24"/>
          <w:lang w:eastAsia="zh-CN"/>
        </w:rPr>
        <w:t>合格文件</w:t>
      </w:r>
      <w:r>
        <w:rPr>
          <w:rFonts w:hint="eastAsia" w:ascii="宋体" w:hAnsi="宋体" w:eastAsia="宋体" w:cs="Times New Roman"/>
          <w:color w:val="auto"/>
          <w:sz w:val="24"/>
          <w:szCs w:val="24"/>
        </w:rPr>
        <w:t>以转账方式向乙方支付</w:t>
      </w:r>
      <w:r>
        <w:rPr>
          <w:rFonts w:hint="eastAsia" w:ascii="宋体" w:hAnsi="宋体" w:eastAsia="宋体" w:cs="Times New Roman"/>
          <w:color w:val="auto"/>
          <w:sz w:val="24"/>
          <w:szCs w:val="24"/>
          <w:lang w:eastAsia="zh-CN"/>
        </w:rPr>
        <w:t>每期款项</w:t>
      </w:r>
      <w:r>
        <w:rPr>
          <w:rFonts w:hint="eastAsia" w:ascii="宋体" w:hAnsi="宋体" w:eastAsia="宋体" w:cs="Times New Roman"/>
          <w:color w:val="auto"/>
          <w:sz w:val="24"/>
          <w:szCs w:val="24"/>
        </w:rPr>
        <w:t>。</w:t>
      </w:r>
    </w:p>
    <w:p>
      <w:pPr>
        <w:spacing w:before="120" w:beforeLines="50"/>
        <w:rPr>
          <w:rFonts w:ascii="宋体" w:hAnsi="宋体"/>
          <w:b/>
          <w:color w:val="auto"/>
          <w:sz w:val="24"/>
          <w:szCs w:val="24"/>
        </w:rPr>
      </w:pPr>
      <w:r>
        <w:rPr>
          <w:rFonts w:hint="eastAsia" w:ascii="宋体" w:hAnsi="宋体" w:cs="仿宋"/>
          <w:b/>
          <w:color w:val="auto"/>
          <w:sz w:val="24"/>
        </w:rPr>
        <w:t>第三条：</w:t>
      </w:r>
      <w:r>
        <w:rPr>
          <w:rFonts w:hint="eastAsia" w:ascii="宋体" w:hAnsi="宋体"/>
          <w:b/>
          <w:color w:val="auto"/>
          <w:sz w:val="24"/>
          <w:szCs w:val="24"/>
        </w:rPr>
        <w:t>服务项目及要求</w:t>
      </w:r>
    </w:p>
    <w:p>
      <w:pPr>
        <w:snapToGrid w:val="0"/>
        <w:spacing w:line="400" w:lineRule="exact"/>
        <w:ind w:firstLine="480" w:firstLineChars="200"/>
        <w:rPr>
          <w:rFonts w:ascii="宋体" w:hAnsi="宋体" w:cs="PMingLiU"/>
          <w:color w:val="auto"/>
          <w:kern w:val="0"/>
          <w:sz w:val="24"/>
          <w:szCs w:val="24"/>
        </w:rPr>
      </w:pPr>
      <w:r>
        <w:rPr>
          <w:rFonts w:hint="eastAsia" w:ascii="宋体" w:hAnsi="宋体" w:cs="PMingLiU"/>
          <w:color w:val="auto"/>
          <w:kern w:val="0"/>
          <w:sz w:val="24"/>
          <w:szCs w:val="24"/>
        </w:rPr>
        <w:t>1、交付期（工期）：</w:t>
      </w:r>
      <w:r>
        <w:rPr>
          <w:rFonts w:hint="eastAsia" w:ascii="宋体" w:hAnsi="宋体" w:cs="方正仿宋_GBK"/>
          <w:color w:val="auto"/>
          <w:kern w:val="0"/>
          <w:sz w:val="24"/>
          <w:szCs w:val="28"/>
        </w:rPr>
        <w:t>从签订合同之日起</w:t>
      </w:r>
      <w:r>
        <w:rPr>
          <w:rFonts w:hint="eastAsia" w:ascii="宋体" w:hAnsi="宋体" w:cs="方正仿宋_GBK"/>
          <w:color w:val="auto"/>
          <w:kern w:val="0"/>
          <w:sz w:val="24"/>
          <w:szCs w:val="28"/>
          <w:u w:val="single"/>
        </w:rPr>
        <w:t xml:space="preserve">    </w:t>
      </w:r>
      <w:r>
        <w:rPr>
          <w:rFonts w:hint="eastAsia" w:ascii="宋体" w:hAnsi="宋体" w:cs="方正仿宋_GBK"/>
          <w:color w:val="auto"/>
          <w:kern w:val="0"/>
          <w:sz w:val="24"/>
          <w:szCs w:val="28"/>
        </w:rPr>
        <w:t>日内交付正常使用。</w:t>
      </w:r>
    </w:p>
    <w:p>
      <w:pPr>
        <w:snapToGrid w:val="0"/>
        <w:spacing w:line="400" w:lineRule="exact"/>
        <w:ind w:firstLine="480" w:firstLineChars="200"/>
        <w:rPr>
          <w:rFonts w:ascii="宋体" w:hAnsi="宋体" w:cs="PMingLiU"/>
          <w:color w:val="auto"/>
          <w:kern w:val="0"/>
          <w:sz w:val="24"/>
          <w:szCs w:val="24"/>
        </w:rPr>
      </w:pPr>
      <w:r>
        <w:rPr>
          <w:rFonts w:hint="eastAsia" w:ascii="宋体" w:hAnsi="宋体" w:cs="PMingLiU"/>
          <w:color w:val="auto"/>
          <w:kern w:val="0"/>
          <w:sz w:val="24"/>
          <w:szCs w:val="24"/>
        </w:rPr>
        <w:t>2、交付地点：甲方指定地点</w:t>
      </w:r>
    </w:p>
    <w:p>
      <w:pPr>
        <w:spacing w:line="400" w:lineRule="exact"/>
        <w:ind w:firstLine="480" w:firstLineChars="200"/>
        <w:rPr>
          <w:rFonts w:ascii="宋体" w:hAnsi="宋体" w:cs="方正仿宋_GBK"/>
          <w:color w:val="auto"/>
          <w:sz w:val="24"/>
          <w:szCs w:val="24"/>
        </w:rPr>
      </w:pPr>
      <w:r>
        <w:rPr>
          <w:rFonts w:hint="eastAsia" w:ascii="宋体" w:hAnsi="宋体" w:cs="方正仿宋_GBK"/>
          <w:color w:val="auto"/>
          <w:sz w:val="24"/>
          <w:szCs w:val="24"/>
        </w:rPr>
        <w:t>4、产品质量保证期：</w:t>
      </w:r>
      <w:r>
        <w:rPr>
          <w:rFonts w:hint="eastAsia" w:ascii="宋体" w:hAnsi="宋体" w:cs="方正仿宋_GBK"/>
          <w:color w:val="auto"/>
          <w:sz w:val="24"/>
          <w:szCs w:val="24"/>
          <w:u w:val="single"/>
        </w:rPr>
        <w:t xml:space="preserve">    年</w:t>
      </w:r>
      <w:r>
        <w:rPr>
          <w:rFonts w:hint="eastAsia" w:ascii="宋体" w:hAnsi="宋体" w:cs="方正仿宋_GBK"/>
          <w:color w:val="auto"/>
          <w:sz w:val="24"/>
          <w:szCs w:val="24"/>
        </w:rPr>
        <w:t>，从项目验收合格之日算起。</w:t>
      </w:r>
    </w:p>
    <w:p>
      <w:pPr>
        <w:spacing w:before="120" w:beforeLines="50"/>
        <w:rPr>
          <w:rFonts w:ascii="宋体" w:hAnsi="宋体"/>
          <w:b/>
          <w:color w:val="auto"/>
          <w:sz w:val="24"/>
          <w:szCs w:val="24"/>
        </w:rPr>
      </w:pPr>
      <w:r>
        <w:rPr>
          <w:rFonts w:hint="eastAsia" w:ascii="宋体" w:hAnsi="宋体"/>
          <w:b/>
          <w:color w:val="auto"/>
          <w:sz w:val="24"/>
          <w:szCs w:val="24"/>
        </w:rPr>
        <w:t>第五条：合同期限与终止</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1、合同期限：从本合同生效之日起，直至质量保证期满且无争议或纠纷时止。</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2、合同的终止</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（1）合同期满，双方未续签的；</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（2）乙方服务能力丧失，致使服务无法正常进行的；</w:t>
      </w:r>
    </w:p>
    <w:p>
      <w:pPr>
        <w:ind w:firstLine="480" w:firstLineChars="200"/>
        <w:rPr>
          <w:rFonts w:ascii="宋体" w:hAnsi="宋体"/>
          <w:b/>
          <w:bCs/>
          <w:color w:val="auto"/>
          <w:sz w:val="24"/>
          <w:szCs w:val="24"/>
        </w:rPr>
      </w:pPr>
      <w:r>
        <w:rPr>
          <w:rFonts w:hint="eastAsia" w:ascii="宋体" w:hAnsi="宋体" w:cs="方正仿宋_GBK"/>
          <w:color w:val="auto"/>
          <w:sz w:val="24"/>
          <w:szCs w:val="24"/>
        </w:rPr>
        <w:t>（3）在履行合同过程中，乙方未按甲方要求或合同约定提供服务，可能造成项目延迟交付或验收，甲方有权立即终止合同，并按本合同第八条处理。</w:t>
      </w:r>
      <w:r>
        <w:rPr>
          <w:rFonts w:hint="eastAsia" w:ascii="宋体" w:hAnsi="宋体"/>
          <w:b/>
          <w:bCs/>
          <w:color w:val="auto"/>
          <w:sz w:val="24"/>
          <w:szCs w:val="24"/>
        </w:rPr>
        <w:t xml:space="preserve"> </w:t>
      </w:r>
    </w:p>
    <w:p>
      <w:pPr>
        <w:spacing w:before="120" w:beforeLines="50"/>
        <w:rPr>
          <w:rFonts w:ascii="宋体" w:hAnsi="宋体"/>
          <w:b/>
          <w:color w:val="auto"/>
          <w:sz w:val="24"/>
          <w:szCs w:val="24"/>
        </w:rPr>
      </w:pPr>
      <w:r>
        <w:rPr>
          <w:rFonts w:hint="eastAsia" w:ascii="宋体" w:hAnsi="宋体"/>
          <w:b/>
          <w:color w:val="auto"/>
          <w:sz w:val="24"/>
          <w:szCs w:val="24"/>
        </w:rPr>
        <w:t>第六条：项目考核验收</w:t>
      </w:r>
    </w:p>
    <w:p>
      <w:pPr>
        <w:snapToGrid w:val="0"/>
        <w:spacing w:line="276" w:lineRule="auto"/>
        <w:ind w:firstLine="480" w:firstLineChars="200"/>
        <w:rPr>
          <w:rFonts w:ascii="宋体" w:hAnsi="宋体" w:cs="方正仿宋_GBK"/>
          <w:color w:val="auto"/>
          <w:kern w:val="0"/>
          <w:sz w:val="24"/>
          <w:szCs w:val="28"/>
        </w:rPr>
      </w:pPr>
      <w:r>
        <w:rPr>
          <w:rFonts w:hint="eastAsia" w:ascii="宋体" w:hAnsi="宋体" w:cs="方正仿宋_GBK"/>
          <w:color w:val="auto"/>
          <w:kern w:val="0"/>
          <w:sz w:val="24"/>
          <w:szCs w:val="28"/>
        </w:rPr>
        <w:t>1、由甲方组织验收。</w:t>
      </w:r>
    </w:p>
    <w:p>
      <w:pPr>
        <w:ind w:firstLine="480" w:firstLineChars="200"/>
        <w:rPr>
          <w:rFonts w:hint="eastAsia" w:ascii="宋体" w:hAnsi="宋体"/>
          <w:color w:val="auto"/>
          <w:sz w:val="24"/>
          <w:szCs w:val="24"/>
        </w:rPr>
      </w:pPr>
      <w:r>
        <w:rPr>
          <w:rFonts w:hint="eastAsia" w:ascii="宋体" w:hAnsi="宋体"/>
          <w:color w:val="auto"/>
          <w:sz w:val="24"/>
          <w:szCs w:val="24"/>
        </w:rPr>
        <w:t>2、验收标准：招投标文件、医疗行业规范标准或惯例、医疗行业从业人员常用习惯、合同约定等。</w:t>
      </w:r>
    </w:p>
    <w:p>
      <w:pPr>
        <w:ind w:firstLine="480" w:firstLineChars="200"/>
        <w:rPr>
          <w:rFonts w:hint="eastAsia" w:ascii="宋体" w:hAnsi="宋体"/>
          <w:color w:val="auto"/>
          <w:sz w:val="24"/>
          <w:szCs w:val="24"/>
        </w:rPr>
      </w:pPr>
      <w:r>
        <w:rPr>
          <w:rFonts w:hint="eastAsia" w:ascii="宋体" w:hAnsi="宋体"/>
          <w:color w:val="auto"/>
          <w:sz w:val="24"/>
          <w:szCs w:val="24"/>
        </w:rPr>
        <w:t>3、验收：项目试用效果良好，达到验收条件，乙方向甲方申请验收；经验收合格，甲方出具项目验收报告，验收合格报告作为付款必备条件和质保期起算的依据。</w:t>
      </w:r>
    </w:p>
    <w:p>
      <w:pPr>
        <w:ind w:firstLine="480" w:firstLineChars="200"/>
        <w:rPr>
          <w:rFonts w:hint="eastAsia" w:ascii="宋体" w:hAnsi="宋体"/>
          <w:color w:val="auto"/>
          <w:sz w:val="24"/>
          <w:szCs w:val="24"/>
        </w:rPr>
      </w:pPr>
      <w:r>
        <w:rPr>
          <w:rFonts w:hint="eastAsia" w:ascii="宋体" w:hAnsi="宋体"/>
          <w:color w:val="auto"/>
          <w:sz w:val="24"/>
          <w:szCs w:val="24"/>
        </w:rPr>
        <w:t>4、在合同约定工期内未达到验收合格，按本合同第八条处理。</w:t>
      </w:r>
    </w:p>
    <w:p>
      <w:pPr>
        <w:spacing w:before="120" w:beforeLines="50"/>
        <w:rPr>
          <w:rFonts w:ascii="宋体" w:hAnsi="宋体"/>
          <w:b/>
          <w:color w:val="auto"/>
          <w:sz w:val="24"/>
          <w:szCs w:val="24"/>
        </w:rPr>
      </w:pPr>
      <w:r>
        <w:rPr>
          <w:rFonts w:hint="eastAsia" w:ascii="宋体" w:hAnsi="宋体"/>
          <w:b/>
          <w:color w:val="auto"/>
          <w:sz w:val="24"/>
          <w:szCs w:val="24"/>
        </w:rPr>
        <w:t>第七条：双方权利和义务</w:t>
      </w:r>
    </w:p>
    <w:p>
      <w:pPr>
        <w:ind w:firstLine="480" w:firstLineChars="200"/>
        <w:rPr>
          <w:rFonts w:ascii="宋体" w:hAnsi="宋体"/>
          <w:color w:val="auto"/>
          <w:sz w:val="24"/>
          <w:szCs w:val="24"/>
        </w:rPr>
      </w:pPr>
      <w:r>
        <w:rPr>
          <w:rFonts w:hint="eastAsia" w:ascii="宋体" w:hAnsi="宋体"/>
          <w:color w:val="auto"/>
          <w:sz w:val="24"/>
          <w:szCs w:val="24"/>
        </w:rPr>
        <w:t>（一）甲方权利、义务</w:t>
      </w:r>
    </w:p>
    <w:p>
      <w:pPr>
        <w:ind w:firstLine="480" w:firstLineChars="200"/>
        <w:rPr>
          <w:rFonts w:ascii="宋体" w:hAnsi="宋体"/>
          <w:color w:val="auto"/>
          <w:sz w:val="24"/>
          <w:szCs w:val="24"/>
        </w:rPr>
      </w:pPr>
      <w:r>
        <w:rPr>
          <w:rFonts w:hint="eastAsia" w:ascii="宋体" w:hAnsi="宋体"/>
          <w:color w:val="auto"/>
          <w:sz w:val="24"/>
          <w:szCs w:val="24"/>
        </w:rPr>
        <w:t>1、甲方有权对项目进行全程跟踪和监督，并对乙方进行的服务进行考核。</w:t>
      </w:r>
    </w:p>
    <w:p>
      <w:pPr>
        <w:ind w:firstLine="480" w:firstLineChars="200"/>
        <w:rPr>
          <w:rFonts w:hint="eastAsia" w:ascii="宋体" w:hAnsi="宋体"/>
          <w:color w:val="auto"/>
          <w:sz w:val="24"/>
          <w:szCs w:val="24"/>
        </w:rPr>
      </w:pPr>
      <w:r>
        <w:rPr>
          <w:rFonts w:hint="eastAsia" w:ascii="宋体" w:hAnsi="宋体"/>
          <w:color w:val="auto"/>
          <w:sz w:val="24"/>
          <w:szCs w:val="24"/>
        </w:rPr>
        <w:t>2、协调乙方在提供服务过程相关的政府部门和单位。</w:t>
      </w:r>
    </w:p>
    <w:p>
      <w:pPr>
        <w:ind w:firstLine="480" w:firstLineChars="200"/>
        <w:rPr>
          <w:rFonts w:ascii="宋体" w:hAnsi="宋体"/>
          <w:color w:val="auto"/>
          <w:sz w:val="24"/>
          <w:szCs w:val="24"/>
        </w:rPr>
      </w:pPr>
      <w:r>
        <w:rPr>
          <w:rFonts w:hint="eastAsia" w:ascii="宋体" w:hAnsi="宋体"/>
          <w:color w:val="auto"/>
          <w:sz w:val="24"/>
          <w:szCs w:val="24"/>
        </w:rPr>
        <w:t>3、一旦发现本项目可能延期交互或难以通过项目验收，有权立即终止合同，更换中标人、另行签订合同，以满足本项目的按期验收合格。</w:t>
      </w:r>
    </w:p>
    <w:p>
      <w:pPr>
        <w:ind w:firstLine="480" w:firstLineChars="200"/>
        <w:rPr>
          <w:rFonts w:ascii="宋体" w:hAnsi="宋体"/>
          <w:color w:val="auto"/>
          <w:sz w:val="24"/>
          <w:szCs w:val="24"/>
        </w:rPr>
      </w:pPr>
      <w:r>
        <w:rPr>
          <w:rFonts w:hint="eastAsia" w:ascii="宋体" w:hAnsi="宋体"/>
          <w:color w:val="auto"/>
          <w:sz w:val="24"/>
          <w:szCs w:val="24"/>
        </w:rPr>
        <w:t>（二）乙方权利、义务</w:t>
      </w:r>
    </w:p>
    <w:p>
      <w:pPr>
        <w:ind w:firstLine="480" w:firstLineChars="200"/>
        <w:rPr>
          <w:rFonts w:ascii="宋体" w:hAnsi="宋体"/>
          <w:color w:val="auto"/>
          <w:sz w:val="24"/>
          <w:szCs w:val="24"/>
        </w:rPr>
      </w:pPr>
      <w:r>
        <w:rPr>
          <w:rFonts w:hint="eastAsia" w:ascii="宋体" w:hAnsi="宋体"/>
          <w:color w:val="auto"/>
          <w:sz w:val="24"/>
          <w:szCs w:val="24"/>
        </w:rPr>
        <w:t>1、乙方可要求甲方按本合同规定按时足额付款。</w:t>
      </w:r>
    </w:p>
    <w:p>
      <w:pPr>
        <w:ind w:firstLine="480" w:firstLineChars="200"/>
        <w:rPr>
          <w:rFonts w:ascii="宋体" w:hAnsi="宋体"/>
          <w:color w:val="auto"/>
          <w:sz w:val="24"/>
          <w:szCs w:val="24"/>
        </w:rPr>
      </w:pPr>
      <w:r>
        <w:rPr>
          <w:rFonts w:hint="eastAsia" w:ascii="宋体" w:hAnsi="宋体"/>
          <w:color w:val="auto"/>
          <w:sz w:val="24"/>
          <w:szCs w:val="24"/>
        </w:rPr>
        <w:t>2、乙方不得将服务项目委托给第三人；在履行合同过程中，必须接受甲方监督，满足质量、工期和保证合格验收要求。当可能延期交付或难以保证结果时，应同意甲方立即更换中标人。</w:t>
      </w:r>
    </w:p>
    <w:p>
      <w:pPr>
        <w:spacing w:before="120" w:beforeLines="50"/>
        <w:rPr>
          <w:rFonts w:hint="eastAsia" w:ascii="宋体" w:hAnsi="宋体"/>
          <w:b/>
          <w:color w:val="auto"/>
          <w:sz w:val="24"/>
          <w:szCs w:val="24"/>
        </w:rPr>
      </w:pPr>
      <w:r>
        <w:rPr>
          <w:rFonts w:hint="eastAsia" w:ascii="宋体" w:hAnsi="宋体"/>
          <w:b/>
          <w:color w:val="auto"/>
          <w:sz w:val="24"/>
          <w:szCs w:val="24"/>
        </w:rPr>
        <w:t>第八条：争议及违约处理</w:t>
      </w:r>
    </w:p>
    <w:p>
      <w:pPr>
        <w:ind w:firstLine="480" w:firstLineChars="200"/>
        <w:rPr>
          <w:rFonts w:ascii="宋体" w:hAnsi="宋体"/>
          <w:color w:val="auto"/>
          <w:sz w:val="24"/>
          <w:szCs w:val="24"/>
        </w:rPr>
      </w:pPr>
      <w:r>
        <w:rPr>
          <w:rFonts w:hint="eastAsia" w:ascii="宋体" w:hAnsi="宋体"/>
          <w:color w:val="auto"/>
          <w:sz w:val="24"/>
          <w:szCs w:val="24"/>
        </w:rPr>
        <w:t>本合同在签订或履行过程中发生争议，由甲乙双方协商解决，协商不成的，先按以下方式处理，待甲方针对本项目正式验收合格后，再另行向甲方所在地人民法院提起诉讼。</w:t>
      </w:r>
    </w:p>
    <w:p>
      <w:pPr>
        <w:ind w:firstLine="480" w:firstLineChars="200"/>
        <w:rPr>
          <w:rFonts w:hint="eastAsia" w:ascii="宋体" w:hAnsi="宋体"/>
          <w:color w:val="auto"/>
          <w:sz w:val="24"/>
          <w:szCs w:val="24"/>
        </w:rPr>
      </w:pPr>
      <w:r>
        <w:rPr>
          <w:rFonts w:hint="eastAsia" w:ascii="宋体" w:hAnsi="宋体"/>
          <w:color w:val="auto"/>
          <w:sz w:val="24"/>
          <w:szCs w:val="24"/>
        </w:rPr>
        <w:t>1、未能签订合同或在交付期内未能通过正式验收，甲方不退还履约保证金，且乙方按甲方</w:t>
      </w:r>
      <w:r>
        <w:rPr>
          <w:rFonts w:ascii="宋体" w:hAnsi="宋体"/>
          <w:color w:val="auto"/>
          <w:sz w:val="24"/>
          <w:szCs w:val="24"/>
        </w:rPr>
        <w:t>损失</w:t>
      </w:r>
      <w:r>
        <w:rPr>
          <w:rFonts w:hint="eastAsia" w:ascii="宋体" w:hAnsi="宋体"/>
          <w:color w:val="auto"/>
          <w:sz w:val="24"/>
          <w:szCs w:val="24"/>
        </w:rPr>
        <w:t>的</w:t>
      </w:r>
      <w:r>
        <w:rPr>
          <w:rFonts w:ascii="宋体" w:hAnsi="宋体"/>
          <w:color w:val="auto"/>
          <w:sz w:val="24"/>
          <w:szCs w:val="24"/>
        </w:rPr>
        <w:t>13</w:t>
      </w:r>
      <w:r>
        <w:rPr>
          <w:rFonts w:hint="eastAsia" w:ascii="宋体" w:hAnsi="宋体"/>
          <w:color w:val="auto"/>
          <w:sz w:val="24"/>
          <w:szCs w:val="24"/>
        </w:rPr>
        <w:t>0%向甲方支付违</w:t>
      </w:r>
      <w:r>
        <w:rPr>
          <w:rFonts w:ascii="宋体" w:hAnsi="宋体"/>
          <w:color w:val="auto"/>
          <w:sz w:val="24"/>
          <w:szCs w:val="24"/>
        </w:rPr>
        <w:t>约金</w:t>
      </w:r>
      <w:r>
        <w:rPr>
          <w:rFonts w:hint="eastAsia" w:ascii="宋体" w:hAnsi="宋体"/>
          <w:color w:val="auto"/>
          <w:sz w:val="24"/>
          <w:szCs w:val="24"/>
        </w:rPr>
        <w:t>。</w:t>
      </w:r>
    </w:p>
    <w:p>
      <w:pPr>
        <w:ind w:firstLine="480" w:firstLineChars="200"/>
        <w:rPr>
          <w:rFonts w:hint="eastAsia" w:ascii="宋体" w:hAnsi="宋体"/>
          <w:color w:val="auto"/>
          <w:sz w:val="24"/>
          <w:szCs w:val="24"/>
        </w:rPr>
      </w:pPr>
      <w:r>
        <w:rPr>
          <w:rFonts w:hint="eastAsia" w:ascii="宋体" w:hAnsi="宋体"/>
          <w:color w:val="auto"/>
          <w:sz w:val="24"/>
          <w:szCs w:val="24"/>
        </w:rPr>
        <w:t>2、交付使用后的售后服务期间，因违约或重大过失给甲方造成对方经济损失的，乙方应按甲方</w:t>
      </w:r>
      <w:r>
        <w:rPr>
          <w:rFonts w:ascii="宋体" w:hAnsi="宋体"/>
          <w:color w:val="auto"/>
          <w:sz w:val="24"/>
          <w:szCs w:val="24"/>
        </w:rPr>
        <w:t>损失</w:t>
      </w:r>
      <w:r>
        <w:rPr>
          <w:rFonts w:hint="eastAsia" w:ascii="宋体" w:hAnsi="宋体"/>
          <w:color w:val="auto"/>
          <w:sz w:val="24"/>
          <w:szCs w:val="24"/>
        </w:rPr>
        <w:t>的</w:t>
      </w:r>
      <w:r>
        <w:rPr>
          <w:rFonts w:ascii="宋体" w:hAnsi="宋体"/>
          <w:color w:val="auto"/>
          <w:sz w:val="24"/>
          <w:szCs w:val="24"/>
        </w:rPr>
        <w:t>13</w:t>
      </w:r>
      <w:r>
        <w:rPr>
          <w:rFonts w:hint="eastAsia" w:ascii="宋体" w:hAnsi="宋体"/>
          <w:color w:val="auto"/>
          <w:sz w:val="24"/>
          <w:szCs w:val="24"/>
        </w:rPr>
        <w:t>0%向甲方进行赔偿。</w:t>
      </w:r>
    </w:p>
    <w:p>
      <w:pPr>
        <w:ind w:firstLine="480" w:firstLineChars="200"/>
        <w:rPr>
          <w:rFonts w:ascii="宋体" w:hAnsi="宋体"/>
          <w:color w:val="auto"/>
          <w:sz w:val="24"/>
          <w:szCs w:val="24"/>
        </w:rPr>
      </w:pPr>
      <w:r>
        <w:rPr>
          <w:rFonts w:hint="eastAsia" w:ascii="宋体" w:hAnsi="宋体"/>
          <w:color w:val="auto"/>
          <w:sz w:val="24"/>
          <w:szCs w:val="24"/>
        </w:rPr>
        <w:t>3、本项目若存在未能按期签订合同、未按期交付使用或未能按期通过正式验收三种情形之一者，甲方应将乙方上报北碚区财政局纳入不诚信供应商黑名单；同时，为满足甲方项目工期及验收要求，甲方有权立即申请更换中标人或立即终止合同。</w:t>
      </w:r>
    </w:p>
    <w:p>
      <w:pPr>
        <w:spacing w:before="120" w:beforeLines="50"/>
        <w:rPr>
          <w:rFonts w:hint="eastAsia" w:ascii="宋体" w:hAnsi="宋体"/>
          <w:b/>
          <w:color w:val="auto"/>
          <w:sz w:val="24"/>
          <w:szCs w:val="24"/>
        </w:rPr>
      </w:pPr>
      <w:r>
        <w:rPr>
          <w:rFonts w:hint="eastAsia" w:ascii="宋体" w:hAnsi="宋体"/>
          <w:b/>
          <w:color w:val="auto"/>
          <w:sz w:val="24"/>
          <w:szCs w:val="24"/>
        </w:rPr>
        <w:t>第九条：其它</w:t>
      </w:r>
    </w:p>
    <w:p>
      <w:pPr>
        <w:ind w:firstLine="480" w:firstLineChars="200"/>
        <w:rPr>
          <w:rFonts w:ascii="宋体" w:hAnsi="宋体"/>
          <w:color w:val="auto"/>
          <w:sz w:val="24"/>
          <w:szCs w:val="24"/>
        </w:rPr>
      </w:pPr>
      <w:r>
        <w:rPr>
          <w:rFonts w:hint="eastAsia" w:ascii="宋体" w:hAnsi="宋体"/>
          <w:color w:val="auto"/>
          <w:sz w:val="24"/>
          <w:szCs w:val="24"/>
        </w:rPr>
        <w:t>1、招标文件及其补遗文件、投标文件及承诺是本合同不可分割的部分。</w:t>
      </w:r>
    </w:p>
    <w:p>
      <w:pPr>
        <w:ind w:firstLine="480" w:firstLineChars="200"/>
        <w:rPr>
          <w:rFonts w:hint="eastAsia" w:ascii="宋体" w:hAnsi="宋体"/>
          <w:color w:val="auto"/>
          <w:sz w:val="24"/>
          <w:szCs w:val="24"/>
        </w:rPr>
      </w:pPr>
      <w:r>
        <w:rPr>
          <w:rFonts w:hint="eastAsia" w:ascii="宋体" w:hAnsi="宋体"/>
          <w:color w:val="auto"/>
          <w:sz w:val="24"/>
          <w:szCs w:val="24"/>
        </w:rPr>
        <w:t>2、本协议一式肆份，甲乙双方各执两份，经双方签字盖章后之日起生效。</w:t>
      </w:r>
    </w:p>
    <w:p>
      <w:pPr>
        <w:ind w:firstLine="480" w:firstLineChars="200"/>
        <w:rPr>
          <w:rFonts w:hint="eastAsia" w:ascii="宋体" w:hAnsi="宋体"/>
          <w:color w:val="auto"/>
          <w:sz w:val="24"/>
          <w:szCs w:val="24"/>
        </w:rPr>
      </w:pPr>
    </w:p>
    <w:p>
      <w:pPr>
        <w:ind w:firstLine="480" w:firstLineChars="200"/>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甲方 （公章）：                          乙方（公章）                 </w:t>
      </w:r>
    </w:p>
    <w:p>
      <w:pPr>
        <w:rPr>
          <w:rFonts w:hint="eastAsia" w:ascii="宋体" w:hAnsi="宋体"/>
          <w:color w:val="auto"/>
          <w:sz w:val="24"/>
          <w:szCs w:val="24"/>
        </w:rPr>
      </w:pPr>
    </w:p>
    <w:p>
      <w:pPr>
        <w:rPr>
          <w:rFonts w:hint="eastAsia" w:ascii="宋体" w:hAnsi="宋体"/>
          <w:color w:val="auto"/>
          <w:sz w:val="24"/>
          <w:szCs w:val="24"/>
        </w:rPr>
      </w:pPr>
      <w:r>
        <w:rPr>
          <w:rFonts w:hint="eastAsia" w:ascii="宋体" w:hAnsi="宋体"/>
          <w:color w:val="auto"/>
          <w:sz w:val="24"/>
          <w:szCs w:val="24"/>
        </w:rPr>
        <w:t xml:space="preserve">法定代表人：                             授权代表：           </w:t>
      </w:r>
    </w:p>
    <w:p>
      <w:pPr>
        <w:rPr>
          <w:rFonts w:hint="eastAsia" w:ascii="宋体" w:hAnsi="宋体"/>
          <w:color w:val="auto"/>
          <w:sz w:val="24"/>
          <w:szCs w:val="24"/>
        </w:rPr>
      </w:pPr>
    </w:p>
    <w:p>
      <w:pPr>
        <w:rPr>
          <w:rFonts w:hint="eastAsia" w:ascii="宋体" w:hAnsi="宋体"/>
          <w:color w:val="auto"/>
          <w:sz w:val="24"/>
          <w:szCs w:val="24"/>
        </w:rPr>
      </w:pPr>
    </w:p>
    <w:p>
      <w:pPr>
        <w:rPr>
          <w:rFonts w:hint="eastAsia" w:ascii="宋体" w:hAnsi="宋体"/>
          <w:color w:val="auto"/>
          <w:sz w:val="24"/>
          <w:szCs w:val="24"/>
        </w:rPr>
      </w:pPr>
      <w:r>
        <w:rPr>
          <w:rFonts w:hint="eastAsia" w:ascii="宋体" w:hAnsi="宋体"/>
          <w:color w:val="auto"/>
          <w:sz w:val="24"/>
          <w:szCs w:val="24"/>
        </w:rPr>
        <w:t>经办人：</w:t>
      </w:r>
    </w:p>
    <w:p>
      <w:pPr>
        <w:rPr>
          <w:rFonts w:hint="eastAsia" w:ascii="宋体" w:hAnsi="宋体"/>
          <w:color w:val="auto"/>
          <w:sz w:val="24"/>
          <w:szCs w:val="24"/>
        </w:rPr>
      </w:pPr>
    </w:p>
    <w:p>
      <w:pPr>
        <w:rPr>
          <w:rFonts w:hint="eastAsia" w:ascii="宋体" w:hAnsi="宋体"/>
          <w:color w:val="auto"/>
          <w:sz w:val="24"/>
          <w:szCs w:val="24"/>
        </w:rPr>
      </w:pPr>
    </w:p>
    <w:p>
      <w:pPr>
        <w:rPr>
          <w:rFonts w:hint="eastAsia" w:ascii="宋体" w:hAnsi="宋体"/>
          <w:color w:val="auto"/>
          <w:sz w:val="24"/>
          <w:szCs w:val="24"/>
        </w:rPr>
      </w:pPr>
    </w:p>
    <w:p>
      <w:pPr>
        <w:spacing w:line="320" w:lineRule="exact"/>
        <w:jc w:val="left"/>
        <w:rPr>
          <w:rFonts w:hint="eastAsia" w:ascii="宋体" w:hAnsi="宋体"/>
          <w:color w:val="auto"/>
          <w:sz w:val="24"/>
          <w:szCs w:val="24"/>
        </w:rPr>
      </w:pPr>
      <w:r>
        <w:rPr>
          <w:rFonts w:hint="eastAsia" w:ascii="宋体" w:hAnsi="宋体"/>
          <w:color w:val="auto"/>
          <w:sz w:val="24"/>
          <w:szCs w:val="24"/>
        </w:rPr>
        <w:t>开户行：建行北碚支行</w:t>
      </w:r>
    </w:p>
    <w:p>
      <w:pPr>
        <w:spacing w:line="320" w:lineRule="exact"/>
        <w:jc w:val="left"/>
        <w:rPr>
          <w:rFonts w:hint="eastAsia" w:ascii="宋体" w:hAnsi="宋体"/>
          <w:color w:val="auto"/>
          <w:sz w:val="24"/>
          <w:szCs w:val="24"/>
        </w:rPr>
      </w:pPr>
      <w:r>
        <w:rPr>
          <w:rFonts w:hint="eastAsia" w:ascii="宋体" w:hAnsi="宋体"/>
          <w:color w:val="auto"/>
          <w:sz w:val="24"/>
          <w:szCs w:val="24"/>
        </w:rPr>
        <w:t>账号：</w:t>
      </w:r>
      <w:r>
        <w:rPr>
          <w:rFonts w:ascii="宋体" w:hAnsi="宋体"/>
          <w:color w:val="auto"/>
          <w:sz w:val="24"/>
          <w:szCs w:val="24"/>
        </w:rPr>
        <w:t>5000 1093 6000 5001 2527</w:t>
      </w:r>
    </w:p>
    <w:p>
      <w:pPr>
        <w:rPr>
          <w:rFonts w:ascii="宋体" w:hAnsi="宋体"/>
          <w:color w:val="auto"/>
          <w:sz w:val="24"/>
          <w:szCs w:val="24"/>
        </w:rPr>
      </w:pPr>
      <w:r>
        <w:rPr>
          <w:rFonts w:hint="eastAsia" w:ascii="宋体" w:hAnsi="宋体"/>
          <w:color w:val="auto"/>
          <w:sz w:val="24"/>
          <w:szCs w:val="24"/>
        </w:rPr>
        <w:t>纳税人识别号：12500109450388583N</w:t>
      </w:r>
    </w:p>
    <w:p>
      <w:pPr>
        <w:rPr>
          <w:rFonts w:ascii="宋体" w:hAnsi="宋体"/>
          <w:color w:val="auto"/>
          <w:sz w:val="24"/>
          <w:szCs w:val="24"/>
        </w:rPr>
      </w:pPr>
      <w:r>
        <w:rPr>
          <w:rFonts w:hint="eastAsia" w:ascii="宋体" w:hAnsi="宋体"/>
          <w:color w:val="auto"/>
          <w:sz w:val="24"/>
          <w:szCs w:val="24"/>
        </w:rPr>
        <w:t xml:space="preserve">地址：重庆市北碚区嘉陵村69号          地址：               </w:t>
      </w:r>
    </w:p>
    <w:p>
      <w:pPr>
        <w:rPr>
          <w:rFonts w:ascii="宋体" w:hAnsi="宋体"/>
          <w:color w:val="auto"/>
          <w:sz w:val="24"/>
          <w:szCs w:val="24"/>
        </w:rPr>
      </w:pPr>
      <w:r>
        <w:rPr>
          <w:rFonts w:hint="eastAsia" w:ascii="宋体" w:hAnsi="宋体"/>
          <w:color w:val="auto"/>
          <w:sz w:val="24"/>
          <w:szCs w:val="24"/>
        </w:rPr>
        <w:t xml:space="preserve">电话：                                 电话：             </w:t>
      </w:r>
    </w:p>
    <w:p>
      <w:pPr>
        <w:rPr>
          <w:rFonts w:ascii="宋体" w:hAnsi="宋体"/>
          <w:color w:val="auto"/>
          <w:sz w:val="24"/>
          <w:szCs w:val="24"/>
        </w:rPr>
      </w:pPr>
    </w:p>
    <w:p>
      <w:pPr>
        <w:rPr>
          <w:rFonts w:hint="eastAsia" w:ascii="宋体" w:hAnsi="宋体"/>
          <w:color w:val="auto"/>
          <w:sz w:val="24"/>
          <w:szCs w:val="24"/>
        </w:rPr>
      </w:pPr>
      <w:r>
        <w:rPr>
          <w:rFonts w:hint="eastAsia" w:ascii="宋体" w:hAnsi="宋体"/>
          <w:color w:val="auto"/>
          <w:sz w:val="24"/>
          <w:szCs w:val="24"/>
        </w:rPr>
        <w:t>签约日期：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             签约日期：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rPr>
          <w:rFonts w:hint="eastAsia" w:ascii="宋体" w:hAnsi="宋体"/>
          <w:color w:val="auto"/>
          <w:sz w:val="24"/>
          <w:szCs w:val="24"/>
        </w:rPr>
      </w:pPr>
    </w:p>
    <w:p>
      <w:pPr>
        <w:spacing w:line="440" w:lineRule="exact"/>
        <w:rPr>
          <w:rFonts w:hint="eastAsia" w:ascii="宋体" w:hAnsi="宋体" w:cs="方正仿宋_GBK"/>
          <w:color w:val="auto"/>
          <w:sz w:val="24"/>
          <w:szCs w:val="24"/>
        </w:rPr>
      </w:pPr>
    </w:p>
    <w:p>
      <w:pPr>
        <w:pStyle w:val="2"/>
        <w:spacing w:before="0" w:beforeLines="0" w:after="0" w:afterLines="0" w:line="276" w:lineRule="auto"/>
        <w:rPr>
          <w:rFonts w:hint="eastAsia" w:ascii="宋体" w:hAnsi="宋体" w:eastAsia="宋体"/>
          <w:color w:val="auto"/>
        </w:rPr>
      </w:pPr>
      <w:bookmarkStart w:id="56" w:name="_Toc30234"/>
      <w:r>
        <w:rPr>
          <w:rFonts w:hint="eastAsia" w:ascii="宋体" w:hAnsi="宋体" w:eastAsia="宋体"/>
          <w:color w:val="auto"/>
        </w:rPr>
        <w:t>第六篇  响应文件格式</w:t>
      </w:r>
      <w:bookmarkEnd w:id="56"/>
    </w:p>
    <w:p>
      <w:pPr>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一、经济文件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（一）报价一览表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（二）分项报价明细表</w:t>
      </w:r>
    </w:p>
    <w:p>
      <w:pPr>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二、资格文件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（一）营业执照（副本）或事业单位法人证书（副本）复印件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（二）组织机构代码证复印件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（三）竞争性磋商参与函（格式）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（四）法定代表人身份证明书（格式）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（五）法定代表人授权委托书（格式）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（六）书面声明（格式）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（七）税务登记证（副本）复印件和社会保险缴纳证明材料</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（八）特定资格条件证书或证明文件</w:t>
      </w:r>
    </w:p>
    <w:p>
      <w:pPr>
        <w:snapToGrid w:val="0"/>
        <w:spacing w:line="276" w:lineRule="auto"/>
        <w:ind w:firstLine="480" w:firstLineChars="200"/>
        <w:rPr>
          <w:rFonts w:hint="eastAsia" w:ascii="宋体" w:hAnsi="宋体"/>
          <w:b/>
          <w:color w:val="auto"/>
          <w:sz w:val="24"/>
          <w:szCs w:val="24"/>
        </w:rPr>
      </w:pPr>
      <w:r>
        <w:rPr>
          <w:rFonts w:hint="eastAsia" w:ascii="宋体" w:hAnsi="宋体"/>
          <w:color w:val="auto"/>
          <w:sz w:val="24"/>
          <w:szCs w:val="24"/>
        </w:rPr>
        <w:t>说明：供应商按“三证合一”登记制度办理营业执照的，组织机构代码证和税务登记证以供应商所提供的法人营业执照（副本）复印件为准。</w:t>
      </w:r>
    </w:p>
    <w:p>
      <w:pPr>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三、服务响应文件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（一）服务具体方案</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（二）商务承诺</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（三）服务响应条款差异表</w:t>
      </w:r>
    </w:p>
    <w:p>
      <w:pPr>
        <w:tabs>
          <w:tab w:val="left" w:pos="1764"/>
        </w:tabs>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四、其他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（一）其他与项目有关的资料（自附）</w:t>
      </w:r>
    </w:p>
    <w:p>
      <w:pPr>
        <w:pStyle w:val="3"/>
        <w:spacing w:line="276" w:lineRule="auto"/>
        <w:ind w:firstLine="560" w:firstLineChars="200"/>
        <w:rPr>
          <w:rFonts w:hint="eastAsia"/>
          <w:b/>
          <w:color w:val="auto"/>
          <w:szCs w:val="28"/>
        </w:rPr>
      </w:pPr>
      <w:r>
        <w:rPr>
          <w:rFonts w:hint="eastAsia"/>
          <w:color w:val="auto"/>
        </w:rPr>
        <w:br w:type="page"/>
      </w:r>
      <w:bookmarkStart w:id="57" w:name="_Toc441065694"/>
      <w:bookmarkStart w:id="58" w:name="_Toc429584884"/>
      <w:bookmarkStart w:id="59" w:name="_Toc3060"/>
      <w:r>
        <w:rPr>
          <w:rFonts w:hint="eastAsia"/>
          <w:b/>
          <w:color w:val="auto"/>
          <w:szCs w:val="28"/>
        </w:rPr>
        <w:t>一、经济文件</w:t>
      </w:r>
      <w:bookmarkEnd w:id="57"/>
      <w:bookmarkEnd w:id="58"/>
      <w:bookmarkEnd w:id="59"/>
    </w:p>
    <w:p>
      <w:pPr>
        <w:snapToGrid w:val="0"/>
        <w:spacing w:line="276" w:lineRule="auto"/>
        <w:jc w:val="center"/>
        <w:rPr>
          <w:rFonts w:hint="eastAsia" w:ascii="宋体" w:hAnsi="宋体"/>
          <w:color w:val="auto"/>
          <w:szCs w:val="36"/>
        </w:rPr>
      </w:pPr>
      <w:r>
        <w:rPr>
          <w:rFonts w:hint="eastAsia" w:ascii="宋体" w:hAnsi="宋体"/>
          <w:color w:val="auto"/>
          <w:szCs w:val="36"/>
        </w:rPr>
        <w:t>（一）报价一览表</w:t>
      </w:r>
    </w:p>
    <w:p>
      <w:pPr>
        <w:spacing w:line="276" w:lineRule="auto"/>
        <w:ind w:firstLine="240" w:firstLineChars="100"/>
        <w:rPr>
          <w:rFonts w:hint="eastAsia" w:ascii="宋体" w:hAnsi="宋体"/>
          <w:color w:val="auto"/>
          <w:sz w:val="24"/>
          <w:szCs w:val="28"/>
        </w:rPr>
      </w:pPr>
    </w:p>
    <w:p>
      <w:pPr>
        <w:spacing w:line="276" w:lineRule="auto"/>
        <w:ind w:firstLine="240" w:firstLineChars="100"/>
        <w:rPr>
          <w:rFonts w:hint="default" w:ascii="宋体" w:hAnsi="宋体" w:eastAsia="宋体"/>
          <w:color w:val="auto"/>
          <w:sz w:val="24"/>
          <w:szCs w:val="28"/>
          <w:lang w:val="en-US" w:eastAsia="zh-CN"/>
        </w:rPr>
      </w:pPr>
      <w:r>
        <w:rPr>
          <w:rFonts w:hint="eastAsia" w:ascii="宋体" w:hAnsi="宋体"/>
          <w:color w:val="auto"/>
          <w:sz w:val="24"/>
          <w:szCs w:val="28"/>
        </w:rPr>
        <w:t>项目名称：</w:t>
      </w:r>
      <w:r>
        <w:rPr>
          <w:rFonts w:hint="eastAsia" w:ascii="宋体" w:hAnsi="宋体"/>
          <w:color w:val="auto"/>
          <w:sz w:val="24"/>
          <w:szCs w:val="28"/>
          <w:lang w:val="en-US" w:eastAsia="zh-CN"/>
        </w:rPr>
        <w:t xml:space="preserve">                                    项目编号：</w:t>
      </w:r>
    </w:p>
    <w:tbl>
      <w:tblPr>
        <w:tblStyle w:val="58"/>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29"/>
        <w:gridCol w:w="315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575" w:type="dxa"/>
            <w:noWrap w:val="0"/>
            <w:vAlign w:val="center"/>
          </w:tcPr>
          <w:p>
            <w:pPr>
              <w:spacing w:line="276" w:lineRule="auto"/>
              <w:jc w:val="center"/>
              <w:rPr>
                <w:rFonts w:hint="eastAsia" w:ascii="宋体" w:hAnsi="宋体"/>
                <w:color w:val="auto"/>
                <w:sz w:val="21"/>
                <w:szCs w:val="28"/>
              </w:rPr>
            </w:pPr>
            <w:r>
              <w:rPr>
                <w:rFonts w:hint="eastAsia" w:ascii="宋体" w:hAnsi="宋体"/>
                <w:color w:val="auto"/>
                <w:sz w:val="21"/>
                <w:szCs w:val="28"/>
              </w:rPr>
              <w:t>供应商名称</w:t>
            </w:r>
          </w:p>
        </w:tc>
        <w:tc>
          <w:tcPr>
            <w:tcW w:w="8211" w:type="dxa"/>
            <w:gridSpan w:val="3"/>
            <w:noWrap w:val="0"/>
            <w:vAlign w:val="center"/>
          </w:tcPr>
          <w:p>
            <w:pPr>
              <w:spacing w:line="276" w:lineRule="auto"/>
              <w:jc w:val="center"/>
              <w:rPr>
                <w:rFonts w:hint="eastAsia" w:ascii="宋体" w:hAnsi="宋体"/>
                <w:color w:val="auto"/>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1575" w:type="dxa"/>
            <w:noWrap w:val="0"/>
            <w:vAlign w:val="center"/>
          </w:tcPr>
          <w:p>
            <w:pPr>
              <w:spacing w:line="276" w:lineRule="auto"/>
              <w:jc w:val="center"/>
              <w:rPr>
                <w:rFonts w:hint="eastAsia" w:ascii="宋体" w:hAnsi="宋体" w:eastAsia="宋体"/>
                <w:color w:val="auto"/>
                <w:sz w:val="21"/>
                <w:szCs w:val="28"/>
                <w:lang w:eastAsia="zh-CN"/>
              </w:rPr>
            </w:pPr>
            <w:r>
              <w:rPr>
                <w:rFonts w:hint="eastAsia" w:ascii="宋体" w:hAnsi="宋体"/>
                <w:color w:val="auto"/>
                <w:sz w:val="21"/>
                <w:szCs w:val="28"/>
                <w:lang w:eastAsia="zh-CN"/>
              </w:rPr>
              <w:t>服务次数（次）</w:t>
            </w:r>
          </w:p>
        </w:tc>
        <w:tc>
          <w:tcPr>
            <w:tcW w:w="3429" w:type="dxa"/>
            <w:noWrap w:val="0"/>
            <w:vAlign w:val="center"/>
          </w:tcPr>
          <w:p>
            <w:pPr>
              <w:spacing w:line="276" w:lineRule="auto"/>
              <w:jc w:val="center"/>
              <w:rPr>
                <w:rFonts w:hint="eastAsia" w:ascii="宋体" w:hAnsi="宋体" w:eastAsia="宋体"/>
                <w:color w:val="auto"/>
                <w:sz w:val="21"/>
                <w:szCs w:val="28"/>
                <w:lang w:eastAsia="zh-CN"/>
              </w:rPr>
            </w:pPr>
            <w:r>
              <w:rPr>
                <w:rFonts w:hint="eastAsia" w:ascii="宋体" w:hAnsi="宋体"/>
                <w:color w:val="auto"/>
                <w:sz w:val="21"/>
                <w:szCs w:val="28"/>
                <w:lang w:eastAsia="zh-CN"/>
              </w:rPr>
              <w:t>单次服务价（元）</w:t>
            </w:r>
          </w:p>
        </w:tc>
        <w:tc>
          <w:tcPr>
            <w:tcW w:w="3150" w:type="dxa"/>
            <w:noWrap w:val="0"/>
            <w:vAlign w:val="center"/>
          </w:tcPr>
          <w:p>
            <w:pPr>
              <w:spacing w:line="276" w:lineRule="auto"/>
              <w:jc w:val="center"/>
              <w:rPr>
                <w:rFonts w:hint="eastAsia" w:ascii="宋体" w:hAnsi="宋体"/>
                <w:color w:val="auto"/>
                <w:sz w:val="21"/>
                <w:szCs w:val="28"/>
              </w:rPr>
            </w:pPr>
            <w:r>
              <w:rPr>
                <w:rFonts w:hint="eastAsia" w:ascii="宋体" w:hAnsi="宋体"/>
                <w:color w:val="auto"/>
                <w:sz w:val="21"/>
                <w:szCs w:val="28"/>
                <w:lang w:eastAsia="zh-CN"/>
              </w:rPr>
              <w:t>投标总价</w:t>
            </w:r>
            <w:r>
              <w:rPr>
                <w:rFonts w:hint="eastAsia" w:ascii="宋体" w:hAnsi="宋体"/>
                <w:color w:val="auto"/>
                <w:sz w:val="21"/>
                <w:szCs w:val="28"/>
              </w:rPr>
              <w:t>（</w:t>
            </w:r>
            <w:r>
              <w:rPr>
                <w:rFonts w:hint="eastAsia" w:ascii="宋体" w:hAnsi="宋体"/>
                <w:color w:val="auto"/>
                <w:sz w:val="21"/>
                <w:szCs w:val="28"/>
                <w:lang w:eastAsia="zh-CN"/>
              </w:rPr>
              <w:t>元</w:t>
            </w:r>
            <w:r>
              <w:rPr>
                <w:rFonts w:hint="eastAsia" w:ascii="宋体" w:hAnsi="宋体"/>
                <w:color w:val="auto"/>
                <w:sz w:val="21"/>
                <w:szCs w:val="28"/>
              </w:rPr>
              <w:t>）</w:t>
            </w:r>
          </w:p>
        </w:tc>
        <w:tc>
          <w:tcPr>
            <w:tcW w:w="1632" w:type="dxa"/>
            <w:noWrap w:val="0"/>
            <w:vAlign w:val="center"/>
          </w:tcPr>
          <w:p>
            <w:pPr>
              <w:spacing w:line="276" w:lineRule="auto"/>
              <w:jc w:val="center"/>
              <w:rPr>
                <w:rFonts w:hint="eastAsia" w:ascii="宋体" w:hAnsi="宋体" w:eastAsia="宋体"/>
                <w:color w:val="auto"/>
                <w:sz w:val="21"/>
                <w:szCs w:val="28"/>
                <w:lang w:eastAsia="zh-CN"/>
              </w:rPr>
            </w:pPr>
            <w:r>
              <w:rPr>
                <w:rFonts w:hint="eastAsia" w:ascii="宋体" w:hAnsi="宋体"/>
                <w:color w:val="auto"/>
                <w:sz w:val="21"/>
                <w:szCs w:val="28"/>
                <w:lang w:eastAsia="zh-CN"/>
              </w:rPr>
              <w:t>交付期（天）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575" w:type="dxa"/>
            <w:tcBorders>
              <w:bottom w:val="single" w:color="auto" w:sz="4" w:space="0"/>
            </w:tcBorders>
            <w:noWrap w:val="0"/>
            <w:vAlign w:val="center"/>
          </w:tcPr>
          <w:p>
            <w:pPr>
              <w:spacing w:line="276" w:lineRule="auto"/>
              <w:jc w:val="center"/>
              <w:rPr>
                <w:rFonts w:hint="default" w:ascii="宋体" w:hAnsi="宋体" w:eastAsia="宋体"/>
                <w:color w:val="auto"/>
                <w:sz w:val="21"/>
                <w:szCs w:val="28"/>
                <w:lang w:val="en-US" w:eastAsia="zh-CN"/>
              </w:rPr>
            </w:pPr>
          </w:p>
        </w:tc>
        <w:tc>
          <w:tcPr>
            <w:tcW w:w="3429" w:type="dxa"/>
            <w:tcBorders>
              <w:bottom w:val="single" w:color="auto" w:sz="4" w:space="0"/>
            </w:tcBorders>
            <w:noWrap w:val="0"/>
            <w:vAlign w:val="top"/>
          </w:tcPr>
          <w:p>
            <w:pPr>
              <w:spacing w:line="276" w:lineRule="auto"/>
              <w:rPr>
                <w:rFonts w:hint="eastAsia" w:ascii="宋体" w:hAnsi="宋体"/>
                <w:color w:val="auto"/>
                <w:sz w:val="21"/>
                <w:szCs w:val="28"/>
              </w:rPr>
            </w:pPr>
          </w:p>
        </w:tc>
        <w:tc>
          <w:tcPr>
            <w:tcW w:w="3150" w:type="dxa"/>
            <w:tcBorders>
              <w:bottom w:val="single" w:color="auto" w:sz="4" w:space="0"/>
            </w:tcBorders>
            <w:noWrap w:val="0"/>
            <w:vAlign w:val="top"/>
          </w:tcPr>
          <w:p>
            <w:pPr>
              <w:spacing w:line="276" w:lineRule="auto"/>
              <w:rPr>
                <w:rFonts w:hint="eastAsia" w:ascii="宋体" w:hAnsi="宋体"/>
                <w:color w:val="auto"/>
                <w:sz w:val="21"/>
                <w:szCs w:val="28"/>
              </w:rPr>
            </w:pPr>
          </w:p>
        </w:tc>
        <w:tc>
          <w:tcPr>
            <w:tcW w:w="1632" w:type="dxa"/>
            <w:tcBorders>
              <w:bottom w:val="single" w:color="auto" w:sz="4" w:space="0"/>
            </w:tcBorders>
            <w:noWrap w:val="0"/>
            <w:vAlign w:val="top"/>
          </w:tcPr>
          <w:p>
            <w:pPr>
              <w:spacing w:line="276" w:lineRule="auto"/>
              <w:rPr>
                <w:rFonts w:hint="eastAsia" w:ascii="宋体" w:hAnsi="宋体"/>
                <w:color w:val="auto"/>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786" w:type="dxa"/>
            <w:gridSpan w:val="4"/>
            <w:tcBorders>
              <w:bottom w:val="single" w:color="auto" w:sz="4" w:space="0"/>
            </w:tcBorders>
            <w:noWrap w:val="0"/>
            <w:vAlign w:val="center"/>
          </w:tcPr>
          <w:p>
            <w:pPr>
              <w:spacing w:line="276" w:lineRule="auto"/>
              <w:rPr>
                <w:rFonts w:hint="eastAsia" w:ascii="宋体" w:hAnsi="宋体"/>
                <w:color w:val="auto"/>
                <w:sz w:val="21"/>
                <w:szCs w:val="28"/>
              </w:rPr>
            </w:pPr>
            <w:r>
              <w:rPr>
                <w:rFonts w:hint="eastAsia" w:ascii="宋体" w:hAnsi="宋体"/>
                <w:color w:val="auto"/>
                <w:sz w:val="21"/>
                <w:szCs w:val="28"/>
                <w:lang w:eastAsia="zh-CN"/>
              </w:rPr>
              <w:t>投标总</w:t>
            </w:r>
            <w:r>
              <w:rPr>
                <w:rFonts w:hint="eastAsia" w:ascii="宋体" w:hAnsi="宋体"/>
                <w:color w:val="auto"/>
                <w:sz w:val="21"/>
                <w:szCs w:val="28"/>
              </w:rPr>
              <w:t xml:space="preserve">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786" w:type="dxa"/>
            <w:gridSpan w:val="4"/>
            <w:noWrap w:val="0"/>
            <w:vAlign w:val="center"/>
          </w:tcPr>
          <w:p>
            <w:pPr>
              <w:pStyle w:val="33"/>
              <w:spacing w:line="276" w:lineRule="auto"/>
              <w:rPr>
                <w:rFonts w:hint="eastAsia" w:ascii="宋体" w:hAnsi="宋体"/>
                <w:color w:val="auto"/>
                <w:sz w:val="21"/>
                <w:szCs w:val="28"/>
                <w:lang w:val="en-US" w:eastAsia="zh-CN"/>
              </w:rPr>
            </w:pPr>
            <w:r>
              <w:rPr>
                <w:rFonts w:hint="eastAsia" w:ascii="宋体" w:hAnsi="宋体"/>
                <w:color w:val="auto"/>
                <w:sz w:val="21"/>
                <w:szCs w:val="28"/>
                <w:lang w:val="en-US" w:eastAsia="zh-CN"/>
              </w:rPr>
              <w:t>备注：</w:t>
            </w:r>
          </w:p>
        </w:tc>
      </w:tr>
    </w:tbl>
    <w:p>
      <w:pPr>
        <w:pStyle w:val="2"/>
        <w:rPr>
          <w:rFonts w:hint="eastAsia" w:ascii="宋体" w:hAnsi="宋体"/>
          <w:color w:val="auto"/>
          <w:sz w:val="24"/>
          <w:szCs w:val="28"/>
        </w:rPr>
      </w:pPr>
    </w:p>
    <w:p>
      <w:pPr>
        <w:pStyle w:val="33"/>
        <w:spacing w:line="276" w:lineRule="auto"/>
        <w:rPr>
          <w:rFonts w:hint="eastAsia" w:ascii="宋体" w:hAnsi="宋体"/>
          <w:color w:val="auto"/>
          <w:sz w:val="24"/>
          <w:szCs w:val="28"/>
        </w:rPr>
      </w:pPr>
    </w:p>
    <w:p>
      <w:pPr>
        <w:spacing w:line="276" w:lineRule="auto"/>
        <w:rPr>
          <w:rFonts w:hint="eastAsia" w:ascii="宋体" w:hAnsi="宋体"/>
          <w:color w:val="auto"/>
        </w:rPr>
      </w:pPr>
    </w:p>
    <w:p>
      <w:pPr>
        <w:spacing w:line="276" w:lineRule="auto"/>
        <w:rPr>
          <w:rFonts w:hint="eastAsia" w:ascii="宋体" w:hAnsi="宋体"/>
          <w:color w:val="auto"/>
          <w:sz w:val="24"/>
          <w:szCs w:val="28"/>
        </w:rPr>
      </w:pPr>
    </w:p>
    <w:p>
      <w:pPr>
        <w:spacing w:line="276" w:lineRule="auto"/>
        <w:ind w:firstLine="480" w:firstLineChars="200"/>
        <w:rPr>
          <w:rFonts w:hint="eastAsia" w:ascii="宋体" w:hAnsi="宋体"/>
          <w:color w:val="auto"/>
          <w:sz w:val="24"/>
          <w:szCs w:val="28"/>
        </w:rPr>
      </w:pPr>
      <w:r>
        <w:rPr>
          <w:rFonts w:hint="eastAsia" w:ascii="宋体" w:hAnsi="宋体"/>
          <w:color w:val="auto"/>
          <w:sz w:val="24"/>
          <w:szCs w:val="28"/>
        </w:rPr>
        <w:t>供应商                                   法定代表人授权代表：</w:t>
      </w:r>
    </w:p>
    <w:p>
      <w:pPr>
        <w:spacing w:line="276" w:lineRule="auto"/>
        <w:rPr>
          <w:rFonts w:hint="eastAsia" w:ascii="宋体" w:hAnsi="宋体"/>
          <w:color w:val="auto"/>
          <w:sz w:val="24"/>
          <w:szCs w:val="28"/>
        </w:rPr>
      </w:pPr>
      <w:r>
        <w:rPr>
          <w:rFonts w:hint="eastAsia" w:ascii="宋体" w:hAnsi="宋体"/>
          <w:color w:val="auto"/>
          <w:sz w:val="24"/>
          <w:szCs w:val="28"/>
        </w:rPr>
        <w:t xml:space="preserve">  （供应商公章）                               （签字或盖章）</w:t>
      </w: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rPr>
      </w:pPr>
      <w:r>
        <w:rPr>
          <w:rFonts w:hint="eastAsia" w:ascii="宋体" w:hAnsi="宋体"/>
          <w:color w:val="auto"/>
          <w:sz w:val="24"/>
          <w:szCs w:val="28"/>
        </w:rPr>
        <w:t xml:space="preserve">                                            年     月     日</w:t>
      </w: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说明：</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1、报价一览表按格式填列；</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2、若以联合体参与投标的，应在“供应商名称”处注明所有联合体名称。</w:t>
      </w:r>
    </w:p>
    <w:p>
      <w:pPr>
        <w:snapToGrid w:val="0"/>
        <w:spacing w:line="276" w:lineRule="auto"/>
        <w:ind w:firstLine="560" w:firstLineChars="200"/>
        <w:rPr>
          <w:rFonts w:hint="eastAsia" w:ascii="宋体" w:hAnsi="宋体"/>
          <w:color w:val="auto"/>
          <w:sz w:val="24"/>
          <w:szCs w:val="28"/>
        </w:rPr>
      </w:pPr>
      <w:r>
        <w:rPr>
          <w:rFonts w:hint="eastAsia" w:ascii="宋体" w:hAnsi="宋体"/>
          <w:color w:val="auto"/>
          <w:szCs w:val="28"/>
        </w:rPr>
        <w:br w:type="page"/>
      </w:r>
      <w:r>
        <w:rPr>
          <w:rFonts w:hint="eastAsia" w:ascii="宋体" w:hAnsi="宋体"/>
          <w:color w:val="auto"/>
          <w:szCs w:val="36"/>
        </w:rPr>
        <w:t>（二）分项报价明细表</w:t>
      </w:r>
    </w:p>
    <w:p>
      <w:pPr>
        <w:spacing w:line="276" w:lineRule="auto"/>
        <w:rPr>
          <w:rFonts w:hint="eastAsia" w:ascii="宋体" w:hAnsi="宋体"/>
          <w:color w:val="auto"/>
          <w:sz w:val="24"/>
          <w:szCs w:val="28"/>
        </w:rPr>
      </w:pPr>
      <w:r>
        <w:rPr>
          <w:rFonts w:hint="eastAsia" w:ascii="宋体" w:hAnsi="宋体"/>
          <w:color w:val="auto"/>
          <w:sz w:val="24"/>
          <w:szCs w:val="28"/>
        </w:rPr>
        <w:t>项目名称：</w:t>
      </w:r>
    </w:p>
    <w:p>
      <w:pPr>
        <w:spacing w:line="276" w:lineRule="auto"/>
        <w:rPr>
          <w:rFonts w:hint="eastAsia" w:ascii="宋体" w:hAnsi="宋体"/>
          <w:color w:val="auto"/>
          <w:sz w:val="24"/>
          <w:szCs w:val="28"/>
        </w:rPr>
      </w:pPr>
      <w:r>
        <w:rPr>
          <w:rFonts w:hint="eastAsia" w:ascii="宋体" w:hAnsi="宋体"/>
          <w:color w:val="auto"/>
          <w:sz w:val="24"/>
          <w:szCs w:val="28"/>
        </w:rPr>
        <w:t xml:space="preserve">                                                         单位：元</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305"/>
        <w:gridCol w:w="2220"/>
        <w:gridCol w:w="720"/>
        <w:gridCol w:w="832"/>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853"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序号</w:t>
            </w:r>
          </w:p>
        </w:tc>
        <w:tc>
          <w:tcPr>
            <w:tcW w:w="1305"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服务名称</w:t>
            </w:r>
          </w:p>
        </w:tc>
        <w:tc>
          <w:tcPr>
            <w:tcW w:w="2220"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具体服务内容</w:t>
            </w:r>
          </w:p>
        </w:tc>
        <w:tc>
          <w:tcPr>
            <w:tcW w:w="720"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单价</w:t>
            </w:r>
          </w:p>
        </w:tc>
        <w:tc>
          <w:tcPr>
            <w:tcW w:w="832"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数量</w:t>
            </w:r>
          </w:p>
        </w:tc>
        <w:tc>
          <w:tcPr>
            <w:tcW w:w="2238"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2</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3</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4</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5</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6</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7</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8</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9</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10</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11</w:t>
            </w:r>
          </w:p>
        </w:tc>
        <w:tc>
          <w:tcPr>
            <w:tcW w:w="1305" w:type="dxa"/>
            <w:noWrap w:val="0"/>
            <w:vAlign w:val="center"/>
          </w:tcPr>
          <w:p>
            <w:pPr>
              <w:spacing w:line="276" w:lineRule="auto"/>
              <w:jc w:val="center"/>
              <w:rPr>
                <w:rFonts w:hint="eastAsia" w:ascii="宋体" w:hAnsi="宋体"/>
                <w:color w:val="auto"/>
                <w:sz w:val="21"/>
                <w:szCs w:val="21"/>
              </w:rPr>
            </w:pPr>
            <w:r>
              <w:rPr>
                <w:rFonts w:hint="eastAsia" w:ascii="宋体" w:hAnsi="宋体"/>
                <w:color w:val="auto"/>
                <w:sz w:val="21"/>
                <w:szCs w:val="21"/>
              </w:rPr>
              <w:t>……</w:t>
            </w: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3"/>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12</w:t>
            </w:r>
          </w:p>
        </w:tc>
        <w:tc>
          <w:tcPr>
            <w:tcW w:w="1305" w:type="dxa"/>
            <w:noWrap w:val="0"/>
            <w:vAlign w:val="center"/>
          </w:tcPr>
          <w:p>
            <w:pPr>
              <w:spacing w:line="276" w:lineRule="auto"/>
              <w:jc w:val="center"/>
              <w:rPr>
                <w:rFonts w:hint="eastAsia" w:ascii="宋体" w:hAnsi="宋体"/>
                <w:color w:val="auto"/>
                <w:sz w:val="21"/>
                <w:szCs w:val="21"/>
              </w:rPr>
            </w:pPr>
            <w:r>
              <w:rPr>
                <w:rFonts w:hint="eastAsia" w:ascii="宋体" w:hAnsi="宋体"/>
                <w:color w:val="auto"/>
                <w:sz w:val="21"/>
                <w:szCs w:val="21"/>
              </w:rPr>
              <w:t>总计</w:t>
            </w:r>
          </w:p>
        </w:tc>
        <w:tc>
          <w:tcPr>
            <w:tcW w:w="6010" w:type="dxa"/>
            <w:gridSpan w:val="4"/>
            <w:noWrap w:val="0"/>
            <w:vAlign w:val="top"/>
          </w:tcPr>
          <w:p>
            <w:pPr>
              <w:spacing w:line="276" w:lineRule="auto"/>
              <w:rPr>
                <w:rFonts w:hint="eastAsia" w:ascii="宋体" w:hAnsi="宋体"/>
                <w:color w:val="auto"/>
                <w:sz w:val="21"/>
                <w:szCs w:val="21"/>
              </w:rPr>
            </w:pPr>
          </w:p>
        </w:tc>
      </w:tr>
    </w:tbl>
    <w:p>
      <w:pPr>
        <w:spacing w:line="276" w:lineRule="auto"/>
        <w:ind w:firstLine="480" w:firstLineChars="200"/>
        <w:rPr>
          <w:rFonts w:hint="eastAsia" w:ascii="宋体" w:hAnsi="宋体"/>
          <w:color w:val="auto"/>
          <w:sz w:val="24"/>
          <w:szCs w:val="28"/>
        </w:rPr>
      </w:pPr>
    </w:p>
    <w:p>
      <w:pPr>
        <w:spacing w:line="276" w:lineRule="auto"/>
        <w:ind w:firstLine="600" w:firstLineChars="250"/>
        <w:rPr>
          <w:rFonts w:hint="eastAsia" w:ascii="宋体" w:hAnsi="宋体"/>
          <w:color w:val="auto"/>
          <w:sz w:val="24"/>
          <w:szCs w:val="28"/>
        </w:rPr>
      </w:pPr>
      <w:r>
        <w:rPr>
          <w:rFonts w:hint="eastAsia" w:ascii="宋体" w:hAnsi="宋体"/>
          <w:color w:val="auto"/>
          <w:sz w:val="24"/>
          <w:szCs w:val="28"/>
        </w:rPr>
        <w:t>供应商：                                  法定代表人授权代表：</w:t>
      </w:r>
    </w:p>
    <w:p>
      <w:pPr>
        <w:spacing w:line="276" w:lineRule="auto"/>
        <w:rPr>
          <w:rFonts w:hint="eastAsia" w:ascii="宋体" w:hAnsi="宋体"/>
          <w:color w:val="auto"/>
          <w:sz w:val="24"/>
          <w:szCs w:val="28"/>
        </w:rPr>
      </w:pPr>
      <w:r>
        <w:rPr>
          <w:rFonts w:hint="eastAsia" w:ascii="宋体" w:hAnsi="宋体"/>
          <w:color w:val="auto"/>
          <w:sz w:val="24"/>
          <w:szCs w:val="28"/>
        </w:rPr>
        <w:t xml:space="preserve">  （供应商公章）                               （签字或盖章）</w:t>
      </w: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 xml:space="preserve">                                            年     月     日</w:t>
      </w: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注：</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1、请供应商完整填写本表；</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2、该表可扩展，并逐页签字或盖章。</w:t>
      </w:r>
    </w:p>
    <w:p>
      <w:pPr>
        <w:pStyle w:val="3"/>
        <w:pageBreakBefore/>
        <w:spacing w:line="276" w:lineRule="auto"/>
        <w:rPr>
          <w:rFonts w:hint="eastAsia"/>
          <w:b/>
          <w:color w:val="auto"/>
          <w:szCs w:val="28"/>
        </w:rPr>
      </w:pPr>
      <w:bookmarkStart w:id="60" w:name="_Toc441065695"/>
      <w:bookmarkStart w:id="61" w:name="_Toc429584885"/>
      <w:bookmarkStart w:id="62" w:name="_Toc965"/>
      <w:r>
        <w:rPr>
          <w:rFonts w:hint="eastAsia"/>
          <w:b/>
          <w:color w:val="auto"/>
          <w:szCs w:val="28"/>
        </w:rPr>
        <w:t>二、资格文件</w:t>
      </w:r>
      <w:bookmarkEnd w:id="60"/>
      <w:bookmarkEnd w:id="61"/>
      <w:bookmarkEnd w:id="62"/>
    </w:p>
    <w:p>
      <w:pPr>
        <w:tabs>
          <w:tab w:val="left" w:pos="6300"/>
        </w:tabs>
        <w:snapToGrid w:val="0"/>
        <w:spacing w:line="276" w:lineRule="auto"/>
        <w:ind w:firstLine="570"/>
        <w:rPr>
          <w:rFonts w:hint="eastAsia" w:ascii="宋体" w:hAnsi="宋体"/>
          <w:color w:val="auto"/>
        </w:rPr>
      </w:pPr>
      <w:r>
        <w:rPr>
          <w:rFonts w:hint="eastAsia" w:ascii="宋体" w:hAnsi="宋体"/>
          <w:color w:val="auto"/>
        </w:rPr>
        <w:t>（一）营业执照（副本）</w:t>
      </w:r>
      <w:r>
        <w:rPr>
          <w:rFonts w:hint="eastAsia" w:ascii="宋体" w:hAnsi="宋体"/>
          <w:color w:val="auto"/>
          <w:szCs w:val="28"/>
        </w:rPr>
        <w:t>或事业单位法人证书（副本）</w:t>
      </w:r>
      <w:r>
        <w:rPr>
          <w:rFonts w:hint="eastAsia" w:ascii="宋体" w:hAnsi="宋体"/>
          <w:color w:val="auto"/>
        </w:rPr>
        <w:t>复印件</w:t>
      </w:r>
    </w:p>
    <w:p>
      <w:pPr>
        <w:tabs>
          <w:tab w:val="left" w:pos="6300"/>
        </w:tabs>
        <w:snapToGrid w:val="0"/>
        <w:spacing w:line="276" w:lineRule="auto"/>
        <w:ind w:firstLine="570"/>
        <w:rPr>
          <w:rFonts w:hint="eastAsia" w:ascii="宋体" w:hAnsi="宋体"/>
          <w:color w:val="auto"/>
        </w:rPr>
      </w:pPr>
    </w:p>
    <w:p>
      <w:pPr>
        <w:tabs>
          <w:tab w:val="left" w:pos="6300"/>
        </w:tabs>
        <w:snapToGrid w:val="0"/>
        <w:spacing w:line="276" w:lineRule="auto"/>
        <w:ind w:firstLine="570"/>
        <w:rPr>
          <w:rFonts w:hint="eastAsia" w:ascii="宋体" w:hAnsi="宋体"/>
          <w:color w:val="auto"/>
        </w:rPr>
      </w:pPr>
      <w:r>
        <w:rPr>
          <w:rFonts w:hint="eastAsia" w:ascii="宋体" w:hAnsi="宋体"/>
          <w:color w:val="auto"/>
        </w:rPr>
        <w:t>（二）组织机构代码证复印件</w:t>
      </w:r>
    </w:p>
    <w:p>
      <w:pPr>
        <w:tabs>
          <w:tab w:val="left" w:pos="6300"/>
        </w:tabs>
        <w:snapToGrid w:val="0"/>
        <w:spacing w:line="276" w:lineRule="auto"/>
        <w:rPr>
          <w:rFonts w:hint="eastAsia" w:ascii="宋体" w:hAnsi="宋体"/>
          <w:color w:val="auto"/>
        </w:rPr>
      </w:pPr>
    </w:p>
    <w:p>
      <w:pPr>
        <w:snapToGrid w:val="0"/>
        <w:spacing w:before="120" w:beforeLines="50" w:line="276" w:lineRule="auto"/>
        <w:jc w:val="center"/>
        <w:rPr>
          <w:rFonts w:hint="eastAsia" w:ascii="宋体" w:hAnsi="宋体"/>
          <w:color w:val="auto"/>
          <w:szCs w:val="28"/>
        </w:rPr>
      </w:pPr>
      <w:r>
        <w:rPr>
          <w:rFonts w:hint="eastAsia" w:ascii="宋体" w:hAnsi="宋体"/>
          <w:color w:val="auto"/>
        </w:rPr>
        <w:br w:type="page"/>
      </w:r>
      <w:r>
        <w:rPr>
          <w:rFonts w:hint="eastAsia" w:ascii="宋体" w:hAnsi="宋体"/>
          <w:color w:val="auto"/>
          <w:szCs w:val="28"/>
        </w:rPr>
        <w:t>（三）竞争性磋商参与函（格式）</w:t>
      </w: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u w:val="single"/>
        </w:rPr>
      </w:pPr>
      <w:r>
        <w:rPr>
          <w:rFonts w:hint="eastAsia" w:ascii="宋体" w:hAnsi="宋体"/>
          <w:color w:val="auto"/>
          <w:sz w:val="24"/>
          <w:szCs w:val="28"/>
        </w:rPr>
        <w:t>项目名称：</w:t>
      </w:r>
      <w:r>
        <w:rPr>
          <w:rFonts w:hint="eastAsia" w:ascii="宋体" w:hAnsi="宋体"/>
          <w:color w:val="auto"/>
          <w:sz w:val="24"/>
          <w:szCs w:val="28"/>
          <w:u w:val="single"/>
        </w:rPr>
        <w:t xml:space="preserve">                                             </w:t>
      </w:r>
    </w:p>
    <w:p>
      <w:pPr>
        <w:spacing w:line="276" w:lineRule="auto"/>
        <w:rPr>
          <w:rFonts w:hint="eastAsia" w:ascii="宋体" w:hAnsi="宋体"/>
          <w:color w:val="auto"/>
          <w:sz w:val="24"/>
          <w:szCs w:val="28"/>
        </w:rPr>
      </w:pPr>
    </w:p>
    <w:p>
      <w:pPr>
        <w:tabs>
          <w:tab w:val="left" w:pos="6300"/>
        </w:tabs>
        <w:snapToGrid w:val="0"/>
        <w:spacing w:line="276" w:lineRule="auto"/>
        <w:rPr>
          <w:rFonts w:hint="eastAsia" w:ascii="宋体" w:hAnsi="宋体"/>
          <w:color w:val="auto"/>
          <w:sz w:val="24"/>
          <w:szCs w:val="28"/>
        </w:rPr>
      </w:pPr>
      <w:r>
        <w:rPr>
          <w:rFonts w:hint="eastAsia" w:ascii="宋体" w:hAnsi="宋体"/>
          <w:color w:val="auto"/>
          <w:sz w:val="24"/>
          <w:szCs w:val="28"/>
        </w:rPr>
        <w:t>致：</w:t>
      </w:r>
      <w:r>
        <w:rPr>
          <w:rFonts w:hint="eastAsia" w:ascii="宋体" w:hAnsi="宋体"/>
          <w:color w:val="auto"/>
          <w:sz w:val="24"/>
          <w:szCs w:val="28"/>
          <w:u w:val="single"/>
        </w:rPr>
        <w:t xml:space="preserve">                    </w:t>
      </w:r>
      <w:r>
        <w:rPr>
          <w:rFonts w:hint="eastAsia" w:ascii="宋体" w:hAnsi="宋体"/>
          <w:color w:val="auto"/>
          <w:sz w:val="24"/>
          <w:szCs w:val="28"/>
        </w:rPr>
        <w:t>（采购人名称）：</w:t>
      </w:r>
    </w:p>
    <w:p>
      <w:pPr>
        <w:snapToGrid w:val="0"/>
        <w:spacing w:before="120" w:beforeLines="50" w:line="276" w:lineRule="auto"/>
        <w:ind w:firstLine="480" w:firstLineChars="200"/>
        <w:rPr>
          <w:rFonts w:hint="eastAsia" w:ascii="宋体" w:hAnsi="宋体"/>
          <w:color w:val="auto"/>
          <w:sz w:val="24"/>
          <w:szCs w:val="28"/>
        </w:rPr>
      </w:pPr>
      <w:r>
        <w:rPr>
          <w:rFonts w:hint="eastAsia" w:ascii="宋体" w:hAnsi="宋体"/>
          <w:color w:val="auto"/>
          <w:sz w:val="24"/>
          <w:szCs w:val="28"/>
          <w:u w:val="single"/>
        </w:rPr>
        <w:t xml:space="preserve">                        </w:t>
      </w:r>
      <w:r>
        <w:rPr>
          <w:rFonts w:hint="eastAsia" w:ascii="宋体" w:hAnsi="宋体"/>
          <w:color w:val="auto"/>
          <w:sz w:val="24"/>
          <w:szCs w:val="28"/>
        </w:rPr>
        <w:t>（供应商名称）系中华人民共和国合法企业，注册地址：</w:t>
      </w:r>
      <w:r>
        <w:rPr>
          <w:rFonts w:hint="eastAsia" w:ascii="宋体" w:hAnsi="宋体"/>
          <w:color w:val="auto"/>
          <w:sz w:val="24"/>
          <w:szCs w:val="28"/>
          <w:u w:val="single"/>
        </w:rPr>
        <w:t xml:space="preserve">                               </w:t>
      </w:r>
      <w:r>
        <w:rPr>
          <w:rFonts w:hint="eastAsia" w:ascii="宋体" w:hAnsi="宋体"/>
          <w:color w:val="auto"/>
          <w:sz w:val="24"/>
          <w:szCs w:val="28"/>
        </w:rPr>
        <w:t>。我方就参加本次参与磋商有关事项郑重声明如下：</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一、我方完全理解并接受该项目磋商文件所有要求。</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二、我方提交的所有响应文件、资料都是准确和真实的，如有虚假或隐瞒，我方愿意承担一切法律责任。</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三、我方承诺按照磋商文件要求，提供项目的技术服务。</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四、我方按磋商文件要求提交的响应文件为：响应文件正本1份，副本  份。</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五、我方承诺：本次提交响应文件有效期为90天。</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六、我方最后报价为闭口价。即在响应文件有效期和合同有效期内，该报价固定不变。</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七、如果我方中标，我方将履行磋商文件中规定的各项要求以及我方响应文件的各项承诺，按《政府采购法》、《合同法》及合同约定条款承担我方责任。</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八、我方未</w:t>
      </w:r>
      <w:r>
        <w:rPr>
          <w:rFonts w:hint="eastAsia" w:ascii="宋体" w:hAnsi="宋体"/>
          <w:color w:val="auto"/>
          <w:sz w:val="24"/>
          <w:szCs w:val="24"/>
        </w:rPr>
        <w:t>为采购项目提供整体设计、规范编制或者项目管理、监理、检测等服务。</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九、我方理解，最低报价不是中标的唯一条件。</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十、我方同意按有关规定及磋商文件要求，缴纳足额投标保证金。</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十一、我方同意按磋商文件中标公示内容要求进行公示，自愿接受监督。</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十二、我方保证不围标、不串标、不卖标、不转包、不违法分包、不接受挂靠，不允许他人以自己名义投标。</w:t>
      </w:r>
    </w:p>
    <w:p>
      <w:pPr>
        <w:tabs>
          <w:tab w:val="left" w:pos="6300"/>
        </w:tabs>
        <w:snapToGrid w:val="0"/>
        <w:spacing w:line="276" w:lineRule="auto"/>
        <w:ind w:firstLine="5460" w:firstLineChars="2275"/>
        <w:rPr>
          <w:rFonts w:hint="eastAsia" w:ascii="宋体" w:hAnsi="宋体"/>
          <w:color w:val="auto"/>
          <w:sz w:val="24"/>
          <w:szCs w:val="28"/>
        </w:rPr>
      </w:pPr>
      <w:r>
        <w:rPr>
          <w:rFonts w:hint="eastAsia" w:ascii="宋体" w:hAnsi="宋体"/>
          <w:color w:val="auto"/>
          <w:sz w:val="24"/>
          <w:szCs w:val="28"/>
        </w:rPr>
        <w:t>（供应商公章）</w:t>
      </w:r>
    </w:p>
    <w:p>
      <w:pPr>
        <w:tabs>
          <w:tab w:val="left" w:pos="6300"/>
        </w:tabs>
        <w:snapToGrid w:val="0"/>
        <w:spacing w:line="276" w:lineRule="auto"/>
        <w:ind w:firstLine="570"/>
        <w:rPr>
          <w:rFonts w:hint="eastAsia" w:ascii="宋体" w:hAnsi="宋体"/>
          <w:color w:val="auto"/>
          <w:sz w:val="24"/>
          <w:szCs w:val="28"/>
        </w:rPr>
      </w:pPr>
    </w:p>
    <w:p>
      <w:pPr>
        <w:tabs>
          <w:tab w:val="left" w:pos="6300"/>
        </w:tabs>
        <w:snapToGrid w:val="0"/>
        <w:spacing w:line="276" w:lineRule="auto"/>
        <w:ind w:firstLine="5760" w:firstLineChars="2400"/>
        <w:rPr>
          <w:rFonts w:hint="eastAsia" w:ascii="宋体" w:hAnsi="宋体"/>
          <w:color w:val="auto"/>
          <w:szCs w:val="28"/>
        </w:rPr>
      </w:pPr>
      <w:r>
        <w:rPr>
          <w:rFonts w:hint="eastAsia" w:ascii="宋体" w:hAnsi="宋体"/>
          <w:color w:val="auto"/>
          <w:sz w:val="24"/>
          <w:szCs w:val="28"/>
        </w:rPr>
        <w:t>年    月   日</w:t>
      </w:r>
    </w:p>
    <w:p>
      <w:pPr>
        <w:widowControl/>
        <w:spacing w:line="276" w:lineRule="auto"/>
        <w:ind w:firstLine="560" w:firstLineChars="200"/>
        <w:jc w:val="left"/>
        <w:rPr>
          <w:rFonts w:hint="eastAsia" w:ascii="宋体" w:hAnsi="宋体"/>
          <w:color w:val="auto"/>
        </w:rPr>
      </w:pPr>
    </w:p>
    <w:p>
      <w:pPr>
        <w:widowControl/>
        <w:spacing w:line="276" w:lineRule="auto"/>
        <w:ind w:firstLine="560" w:firstLineChars="200"/>
        <w:jc w:val="left"/>
        <w:rPr>
          <w:rFonts w:hint="eastAsia" w:ascii="宋体" w:hAnsi="宋体"/>
          <w:color w:val="auto"/>
        </w:rPr>
      </w:pPr>
    </w:p>
    <w:p>
      <w:pPr>
        <w:widowControl/>
        <w:spacing w:line="276" w:lineRule="auto"/>
        <w:ind w:firstLine="560" w:firstLineChars="200"/>
        <w:jc w:val="left"/>
        <w:rPr>
          <w:rFonts w:hint="eastAsia" w:ascii="宋体" w:hAnsi="宋体"/>
          <w:color w:val="auto"/>
        </w:rPr>
      </w:pPr>
    </w:p>
    <w:p>
      <w:pPr>
        <w:widowControl/>
        <w:spacing w:line="276" w:lineRule="auto"/>
        <w:ind w:firstLine="560" w:firstLineChars="200"/>
        <w:jc w:val="left"/>
        <w:rPr>
          <w:rFonts w:hint="eastAsia" w:ascii="宋体" w:hAnsi="宋体"/>
          <w:color w:val="auto"/>
        </w:rPr>
      </w:pPr>
      <w:r>
        <w:rPr>
          <w:rFonts w:hint="eastAsia" w:ascii="宋体" w:hAnsi="宋体"/>
          <w:color w:val="auto"/>
        </w:rPr>
        <w:br w:type="page"/>
      </w:r>
      <w:r>
        <w:rPr>
          <w:rFonts w:hint="eastAsia" w:ascii="宋体" w:hAnsi="宋体"/>
          <w:color w:val="auto"/>
        </w:rPr>
        <w:t>（四）法定代表人身份证明书（格式）</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项目名称：</w:t>
      </w:r>
      <w:r>
        <w:rPr>
          <w:rFonts w:hint="eastAsia" w:ascii="宋体" w:hAnsi="宋体"/>
          <w:color w:val="auto"/>
          <w:sz w:val="24"/>
          <w:u w:val="single"/>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rPr>
        <w:t>（采购人名称）：</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（法定代表人姓名）在</w:t>
      </w:r>
      <w:r>
        <w:rPr>
          <w:rFonts w:hint="eastAsia" w:ascii="宋体" w:hAnsi="宋体"/>
          <w:color w:val="auto"/>
          <w:sz w:val="24"/>
          <w:u w:val="single"/>
        </w:rPr>
        <w:t xml:space="preserve">                       </w:t>
      </w:r>
      <w:r>
        <w:rPr>
          <w:rFonts w:hint="eastAsia" w:ascii="宋体" w:hAnsi="宋体"/>
          <w:color w:val="auto"/>
          <w:sz w:val="24"/>
        </w:rPr>
        <w:t>（供应商名称）任</w:t>
      </w:r>
      <w:r>
        <w:rPr>
          <w:rFonts w:hint="eastAsia" w:ascii="宋体" w:hAnsi="宋体"/>
          <w:color w:val="auto"/>
          <w:sz w:val="24"/>
          <w:u w:val="single"/>
        </w:rPr>
        <w:t xml:space="preserve">    </w:t>
      </w:r>
      <w:r>
        <w:rPr>
          <w:rFonts w:hint="eastAsia" w:ascii="宋体" w:hAnsi="宋体"/>
          <w:color w:val="auto"/>
          <w:sz w:val="24"/>
        </w:rPr>
        <w:t>（职务名称）职务，是（供应商名称）</w:t>
      </w:r>
      <w:r>
        <w:rPr>
          <w:rFonts w:hint="eastAsia" w:ascii="宋体" w:hAnsi="宋体"/>
          <w:color w:val="auto"/>
          <w:sz w:val="24"/>
          <w:u w:val="single"/>
        </w:rPr>
        <w:t xml:space="preserve">              </w:t>
      </w:r>
      <w:r>
        <w:rPr>
          <w:rFonts w:hint="eastAsia" w:ascii="宋体" w:hAnsi="宋体"/>
          <w:color w:val="auto"/>
          <w:sz w:val="24"/>
        </w:rPr>
        <w:t>的法定代表人。</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特此证明。</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（供应商公章）</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年   月   日</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（附：法定代表人身份证正反面复印件）</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r>
        <w:rPr>
          <w:rFonts w:hint="eastAsia" w:ascii="宋体" w:hAnsi="宋体"/>
          <w:color w:val="auto"/>
        </w:rPr>
        <w:br w:type="page"/>
      </w:r>
      <w:r>
        <w:rPr>
          <w:rFonts w:hint="eastAsia" w:ascii="宋体" w:hAnsi="宋体"/>
          <w:color w:val="auto"/>
        </w:rPr>
        <w:t>（五）法定代表人授权委托书（格式）</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szCs w:val="28"/>
        </w:rPr>
        <w:t>项目名称</w:t>
      </w:r>
      <w:r>
        <w:rPr>
          <w:rFonts w:hint="eastAsia" w:ascii="宋体" w:hAnsi="宋体"/>
          <w:color w:val="auto"/>
          <w:sz w:val="24"/>
        </w:rPr>
        <w:t>：</w:t>
      </w:r>
      <w:r>
        <w:rPr>
          <w:rFonts w:hint="eastAsia" w:ascii="宋体" w:hAnsi="宋体"/>
          <w:color w:val="auto"/>
          <w:sz w:val="24"/>
          <w:u w:val="single"/>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rPr>
        <w:t>（采购人名称）：</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（供应商法定代表人名称）是</w:t>
      </w:r>
      <w:r>
        <w:rPr>
          <w:rFonts w:hint="eastAsia" w:ascii="宋体" w:hAnsi="宋体"/>
          <w:color w:val="auto"/>
          <w:sz w:val="24"/>
          <w:u w:val="single"/>
        </w:rPr>
        <w:t xml:space="preserve">                    </w:t>
      </w:r>
      <w:r>
        <w:rPr>
          <w:rFonts w:hint="eastAsia" w:ascii="宋体" w:hAnsi="宋体"/>
          <w:color w:val="auto"/>
          <w:sz w:val="24"/>
        </w:rPr>
        <w:t>（供应商名称）的法定代表人，特授权</w:t>
      </w:r>
      <w:r>
        <w:rPr>
          <w:rFonts w:hint="eastAsia" w:ascii="宋体" w:hAnsi="宋体"/>
          <w:color w:val="auto"/>
          <w:sz w:val="24"/>
          <w:u w:val="single"/>
        </w:rPr>
        <w:t xml:space="preserve">          </w:t>
      </w:r>
      <w:r>
        <w:rPr>
          <w:rFonts w:hint="eastAsia" w:ascii="宋体" w:hAnsi="宋体"/>
          <w:color w:val="auto"/>
          <w:sz w:val="24"/>
        </w:rPr>
        <w:t>（被授权人姓名及身份证代码）代表我单位全权办理上述项目的磋商、签约等具体工作，并签署全部有关文件、协议及合同。</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rPr>
        <w:t>我单位对被授权人的签字负全部责任。</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rPr>
        <w:t>在撤消授权的书面通知以前，本授权书一直有效。被授权人在授权书有效期内签署的所有文件不因授权的撤消而失效。</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被授权人：                                 供应商法定代表人：</w:t>
      </w:r>
    </w:p>
    <w:p>
      <w:pPr>
        <w:tabs>
          <w:tab w:val="left" w:pos="6300"/>
        </w:tabs>
        <w:snapToGrid w:val="0"/>
        <w:spacing w:line="276" w:lineRule="auto"/>
        <w:ind w:firstLine="570"/>
        <w:rPr>
          <w:rFonts w:hint="eastAsia" w:ascii="宋体" w:hAnsi="宋体"/>
          <w:color w:val="auto"/>
          <w:sz w:val="24"/>
          <w:szCs w:val="28"/>
        </w:rPr>
      </w:pPr>
      <w:r>
        <w:rPr>
          <w:rFonts w:hint="eastAsia" w:ascii="宋体" w:hAnsi="宋体"/>
          <w:color w:val="auto"/>
          <w:sz w:val="24"/>
          <w:szCs w:val="28"/>
        </w:rPr>
        <w:t>（签字或盖章）                                （签字或盖章）</w:t>
      </w:r>
    </w:p>
    <w:p>
      <w:pPr>
        <w:tabs>
          <w:tab w:val="left" w:pos="6300"/>
        </w:tabs>
        <w:snapToGrid w:val="0"/>
        <w:spacing w:line="276" w:lineRule="auto"/>
        <w:ind w:firstLine="570"/>
        <w:rPr>
          <w:rFonts w:hint="eastAsia" w:ascii="宋体" w:hAnsi="宋体"/>
          <w:color w:val="auto"/>
          <w:sz w:val="24"/>
          <w:szCs w:val="28"/>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（附：被授权人身份证正反面复印件）</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right="480" w:firstLine="570"/>
        <w:jc w:val="right"/>
        <w:rPr>
          <w:rFonts w:hint="eastAsia" w:ascii="宋体" w:hAnsi="宋体"/>
          <w:color w:val="auto"/>
          <w:sz w:val="24"/>
        </w:rPr>
      </w:pPr>
      <w:r>
        <w:rPr>
          <w:rFonts w:hint="eastAsia" w:ascii="宋体" w:hAnsi="宋体"/>
          <w:color w:val="auto"/>
          <w:sz w:val="24"/>
        </w:rPr>
        <w:t>（供应商公章）</w:t>
      </w:r>
    </w:p>
    <w:p>
      <w:pPr>
        <w:tabs>
          <w:tab w:val="left" w:pos="6300"/>
        </w:tabs>
        <w:snapToGrid w:val="0"/>
        <w:spacing w:line="276" w:lineRule="auto"/>
        <w:ind w:right="480" w:firstLine="570"/>
        <w:jc w:val="right"/>
        <w:rPr>
          <w:rFonts w:hint="eastAsia" w:ascii="宋体" w:hAnsi="宋体"/>
          <w:color w:val="auto"/>
          <w:sz w:val="24"/>
        </w:rPr>
      </w:pPr>
      <w:r>
        <w:rPr>
          <w:rFonts w:hint="eastAsia" w:ascii="宋体" w:hAnsi="宋体"/>
          <w:color w:val="auto"/>
          <w:sz w:val="24"/>
        </w:rPr>
        <w:t>年   月   日</w:t>
      </w: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sz w:val="24"/>
        </w:rPr>
      </w:pPr>
      <w:r>
        <w:rPr>
          <w:rFonts w:hint="eastAsia" w:ascii="宋体" w:hAnsi="宋体"/>
          <w:color w:val="auto"/>
        </w:rPr>
        <w:br w:type="column"/>
      </w:r>
      <w:r>
        <w:rPr>
          <w:rFonts w:hint="eastAsia" w:ascii="宋体" w:hAnsi="宋体"/>
          <w:color w:val="auto"/>
        </w:rPr>
        <w:t>（六）书面声明</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szCs w:val="28"/>
        </w:rPr>
        <w:t>项目名称</w:t>
      </w:r>
      <w:r>
        <w:rPr>
          <w:rFonts w:hint="eastAsia" w:ascii="宋体" w:hAnsi="宋体"/>
          <w:color w:val="auto"/>
          <w:sz w:val="24"/>
        </w:rPr>
        <w:t>：</w:t>
      </w:r>
      <w:r>
        <w:rPr>
          <w:rFonts w:hint="eastAsia" w:ascii="宋体" w:hAnsi="宋体"/>
          <w:color w:val="auto"/>
          <w:sz w:val="24"/>
          <w:u w:val="single"/>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致：采购人</w:t>
      </w: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投标人名称）郑重声明，我公司具有良好的商业信誉，具有履行合同所必需的设备和专业技术能力，有依法缴纳税收和社会保障资金的良好记录，参加本项目采购活动前三年内无重大违法活动记录，符合《中华人民共和国政府采购法》第二十二条规定条件，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276" w:lineRule="auto"/>
        <w:ind w:firstLine="420" w:firstLineChars="200"/>
        <w:rPr>
          <w:rFonts w:hint="eastAsia" w:ascii="宋体" w:hAnsi="宋体"/>
          <w:color w:val="auto"/>
          <w:sz w:val="21"/>
          <w:szCs w:val="21"/>
        </w:rPr>
      </w:pP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特此声明。</w:t>
      </w:r>
    </w:p>
    <w:p>
      <w:pPr>
        <w:tabs>
          <w:tab w:val="left" w:pos="6300"/>
        </w:tabs>
        <w:snapToGrid w:val="0"/>
        <w:spacing w:line="276" w:lineRule="auto"/>
        <w:ind w:firstLine="570"/>
        <w:rPr>
          <w:rFonts w:hint="eastAsia" w:ascii="宋体" w:hAnsi="宋体"/>
          <w:color w:val="auto"/>
          <w:sz w:val="21"/>
          <w:szCs w:val="21"/>
        </w:rPr>
      </w:pPr>
    </w:p>
    <w:p>
      <w:pPr>
        <w:tabs>
          <w:tab w:val="left" w:pos="6300"/>
        </w:tabs>
        <w:snapToGrid w:val="0"/>
        <w:spacing w:line="276" w:lineRule="auto"/>
        <w:ind w:firstLine="570"/>
        <w:rPr>
          <w:rFonts w:hint="eastAsia" w:ascii="宋体" w:hAnsi="宋体"/>
          <w:color w:val="auto"/>
          <w:sz w:val="21"/>
          <w:szCs w:val="21"/>
        </w:rPr>
      </w:pPr>
    </w:p>
    <w:p>
      <w:pPr>
        <w:tabs>
          <w:tab w:val="left" w:pos="6300"/>
        </w:tabs>
        <w:snapToGrid w:val="0"/>
        <w:spacing w:line="276" w:lineRule="auto"/>
        <w:ind w:firstLine="570"/>
        <w:rPr>
          <w:rFonts w:hint="eastAsia" w:ascii="宋体" w:hAnsi="宋体"/>
          <w:color w:val="auto"/>
          <w:sz w:val="21"/>
          <w:szCs w:val="21"/>
        </w:rPr>
      </w:pPr>
    </w:p>
    <w:p>
      <w:pPr>
        <w:tabs>
          <w:tab w:val="left" w:pos="6300"/>
        </w:tabs>
        <w:snapToGrid w:val="0"/>
        <w:spacing w:line="276" w:lineRule="auto"/>
        <w:ind w:right="424" w:firstLine="570"/>
        <w:jc w:val="right"/>
        <w:rPr>
          <w:rFonts w:hint="eastAsia" w:ascii="宋体" w:hAnsi="宋体"/>
          <w:color w:val="auto"/>
          <w:sz w:val="21"/>
          <w:szCs w:val="21"/>
        </w:rPr>
      </w:pPr>
      <w:r>
        <w:rPr>
          <w:rFonts w:hint="eastAsia" w:ascii="宋体" w:hAnsi="宋体"/>
          <w:color w:val="auto"/>
          <w:sz w:val="21"/>
          <w:szCs w:val="21"/>
        </w:rPr>
        <w:t>（投标人公章）</w:t>
      </w:r>
    </w:p>
    <w:p>
      <w:pPr>
        <w:tabs>
          <w:tab w:val="left" w:pos="6300"/>
        </w:tabs>
        <w:snapToGrid w:val="0"/>
        <w:spacing w:line="276" w:lineRule="auto"/>
        <w:ind w:right="480" w:firstLine="570"/>
        <w:jc w:val="right"/>
        <w:rPr>
          <w:rFonts w:hint="eastAsia" w:ascii="宋体" w:hAnsi="宋体"/>
          <w:color w:val="auto"/>
          <w:sz w:val="21"/>
          <w:szCs w:val="21"/>
        </w:rPr>
      </w:pPr>
      <w:r>
        <w:rPr>
          <w:rFonts w:hint="eastAsia" w:ascii="宋体" w:hAnsi="宋体"/>
          <w:color w:val="auto"/>
          <w:sz w:val="21"/>
          <w:szCs w:val="21"/>
        </w:rPr>
        <w:t>年   月   日</w:t>
      </w:r>
    </w:p>
    <w:p>
      <w:pPr>
        <w:tabs>
          <w:tab w:val="left" w:pos="6300"/>
        </w:tabs>
        <w:snapToGrid w:val="0"/>
        <w:spacing w:line="276" w:lineRule="auto"/>
        <w:ind w:firstLine="560" w:firstLineChars="200"/>
        <w:rPr>
          <w:rFonts w:hint="eastAsia" w:ascii="宋体" w:hAnsi="宋体"/>
          <w:color w:val="auto"/>
        </w:rPr>
      </w:pPr>
    </w:p>
    <w:p>
      <w:pPr>
        <w:tabs>
          <w:tab w:val="left" w:pos="6300"/>
        </w:tabs>
        <w:snapToGrid w:val="0"/>
        <w:spacing w:line="276" w:lineRule="auto"/>
        <w:rPr>
          <w:rFonts w:hint="eastAsia" w:ascii="宋体" w:hAnsi="宋体"/>
          <w:color w:val="auto"/>
        </w:rPr>
      </w:pPr>
      <w:r>
        <w:rPr>
          <w:rFonts w:hint="eastAsia" w:ascii="宋体" w:hAnsi="宋体"/>
          <w:color w:val="auto"/>
        </w:rPr>
        <w:t xml:space="preserve">    （七）税务登记证（副本）复印件和社会保险缴纳证明材料</w:t>
      </w:r>
    </w:p>
    <w:p>
      <w:pPr>
        <w:tabs>
          <w:tab w:val="left" w:pos="6300"/>
        </w:tabs>
        <w:snapToGrid w:val="0"/>
        <w:spacing w:line="276" w:lineRule="auto"/>
        <w:ind w:firstLine="560" w:firstLineChars="200"/>
        <w:rPr>
          <w:rFonts w:hint="eastAsia" w:ascii="宋体" w:hAnsi="宋体"/>
          <w:color w:val="auto"/>
        </w:rPr>
      </w:pPr>
      <w:r>
        <w:rPr>
          <w:rFonts w:hint="eastAsia" w:ascii="宋体" w:hAnsi="宋体"/>
          <w:color w:val="auto"/>
        </w:rPr>
        <w:t>（八）特定资格条件证书或证明文件</w:t>
      </w:r>
    </w:p>
    <w:p>
      <w:pPr>
        <w:tabs>
          <w:tab w:val="left" w:pos="6300"/>
        </w:tabs>
        <w:snapToGrid w:val="0"/>
        <w:spacing w:line="276" w:lineRule="auto"/>
        <w:ind w:firstLine="560" w:firstLineChars="200"/>
        <w:rPr>
          <w:rFonts w:hint="eastAsia" w:ascii="宋体" w:hAnsi="宋体"/>
          <w:color w:val="auto"/>
          <w:sz w:val="24"/>
        </w:rPr>
      </w:pPr>
      <w:r>
        <w:rPr>
          <w:rFonts w:hint="eastAsia" w:ascii="宋体" w:hAnsi="宋体"/>
          <w:color w:val="auto"/>
        </w:rPr>
        <w:t>说明：供应商按“三证合一”登记制度办理营业执照的，组织机构代码证和税务登记证以供应商所提供的营业执照（副本）复印件为准。</w:t>
      </w:r>
    </w:p>
    <w:p>
      <w:pPr>
        <w:pStyle w:val="3"/>
        <w:pageBreakBefore/>
        <w:spacing w:line="276" w:lineRule="auto"/>
        <w:rPr>
          <w:rFonts w:hint="eastAsia"/>
          <w:b/>
          <w:color w:val="auto"/>
          <w:szCs w:val="28"/>
        </w:rPr>
      </w:pPr>
      <w:bookmarkStart w:id="63" w:name="_Toc429584886"/>
      <w:bookmarkStart w:id="64" w:name="_Toc441065696"/>
      <w:bookmarkStart w:id="65" w:name="_Toc3300"/>
      <w:r>
        <w:rPr>
          <w:rFonts w:hint="eastAsia"/>
          <w:b/>
          <w:color w:val="auto"/>
          <w:szCs w:val="28"/>
        </w:rPr>
        <w:t>三、服务响应文件</w:t>
      </w:r>
      <w:bookmarkEnd w:id="63"/>
      <w:bookmarkEnd w:id="64"/>
      <w:bookmarkEnd w:id="65"/>
    </w:p>
    <w:p>
      <w:pPr>
        <w:snapToGrid w:val="0"/>
        <w:spacing w:line="276" w:lineRule="auto"/>
        <w:ind w:left="241" w:leftChars="86"/>
        <w:rPr>
          <w:rFonts w:hint="eastAsia" w:ascii="宋体" w:hAnsi="宋体"/>
          <w:color w:val="auto"/>
          <w:sz w:val="24"/>
          <w:szCs w:val="24"/>
        </w:rPr>
      </w:pPr>
      <w:r>
        <w:rPr>
          <w:rFonts w:hint="eastAsia" w:ascii="宋体" w:hAnsi="宋体"/>
          <w:color w:val="auto"/>
          <w:szCs w:val="24"/>
        </w:rPr>
        <w:t>（一）服务具体方案</w:t>
      </w:r>
    </w:p>
    <w:p>
      <w:pPr>
        <w:widowControl/>
        <w:spacing w:line="276" w:lineRule="auto"/>
        <w:jc w:val="left"/>
        <w:rPr>
          <w:rFonts w:hint="eastAsia" w:ascii="宋体" w:hAnsi="宋体"/>
          <w:color w:val="auto"/>
        </w:rPr>
      </w:pPr>
      <w:r>
        <w:rPr>
          <w:rFonts w:hint="eastAsia" w:ascii="宋体" w:hAnsi="宋体"/>
          <w:color w:val="auto"/>
          <w:szCs w:val="24"/>
        </w:rPr>
        <w:t xml:space="preserve">  </w:t>
      </w:r>
      <w:r>
        <w:rPr>
          <w:rFonts w:hint="eastAsia" w:ascii="宋体" w:hAnsi="宋体"/>
          <w:color w:val="auto"/>
          <w:sz w:val="24"/>
        </w:rPr>
        <w:t>依据磋商文件第二篇的服务具体要求，采购人自行制定服务具体方案。</w:t>
      </w:r>
      <w:r>
        <w:rPr>
          <w:rFonts w:hint="eastAsia" w:ascii="宋体" w:hAnsi="宋体"/>
          <w:color w:val="auto"/>
          <w:szCs w:val="44"/>
        </w:rPr>
        <w:br w:type="page"/>
      </w:r>
      <w:r>
        <w:rPr>
          <w:rFonts w:hint="eastAsia" w:ascii="宋体" w:hAnsi="宋体"/>
          <w:color w:val="auto"/>
          <w:szCs w:val="28"/>
        </w:rPr>
        <w:t>（二）商务承诺</w:t>
      </w:r>
    </w:p>
    <w:p>
      <w:pPr>
        <w:spacing w:line="276" w:lineRule="auto"/>
        <w:rPr>
          <w:rFonts w:hint="eastAsia" w:ascii="宋体" w:hAnsi="宋体"/>
          <w:color w:val="auto"/>
        </w:rPr>
      </w:pPr>
      <w:r>
        <w:rPr>
          <w:rFonts w:hint="eastAsia" w:ascii="宋体" w:hAnsi="宋体"/>
          <w:color w:val="auto"/>
        </w:rPr>
        <w:t>2.1付款方式；</w:t>
      </w:r>
    </w:p>
    <w:p>
      <w:pPr>
        <w:spacing w:line="276" w:lineRule="auto"/>
        <w:rPr>
          <w:rFonts w:hint="eastAsia" w:ascii="宋体" w:hAnsi="宋体"/>
          <w:color w:val="auto"/>
        </w:rPr>
      </w:pPr>
      <w:r>
        <w:rPr>
          <w:rFonts w:hint="eastAsia" w:ascii="宋体" w:hAnsi="宋体"/>
          <w:color w:val="auto"/>
        </w:rPr>
        <w:t>2.2售后服务能力情况；</w:t>
      </w:r>
    </w:p>
    <w:p>
      <w:pPr>
        <w:spacing w:line="276" w:lineRule="auto"/>
        <w:rPr>
          <w:rFonts w:hint="eastAsia" w:ascii="宋体" w:hAnsi="宋体"/>
          <w:color w:val="auto"/>
        </w:rPr>
      </w:pPr>
      <w:r>
        <w:rPr>
          <w:rFonts w:hint="eastAsia" w:ascii="宋体" w:hAnsi="宋体"/>
          <w:color w:val="auto"/>
        </w:rPr>
        <w:t>2.3培训；</w:t>
      </w:r>
    </w:p>
    <w:p>
      <w:pPr>
        <w:spacing w:line="276" w:lineRule="auto"/>
        <w:rPr>
          <w:rFonts w:hint="eastAsia" w:ascii="宋体" w:hAnsi="宋体"/>
          <w:color w:val="auto"/>
        </w:rPr>
      </w:pPr>
      <w:r>
        <w:rPr>
          <w:rFonts w:hint="eastAsia" w:ascii="宋体" w:hAnsi="宋体"/>
          <w:color w:val="auto"/>
        </w:rPr>
        <w:t>2.4业绩。</w:t>
      </w:r>
    </w:p>
    <w:p>
      <w:pPr>
        <w:tabs>
          <w:tab w:val="left" w:pos="6300"/>
        </w:tabs>
        <w:snapToGrid w:val="0"/>
        <w:spacing w:line="276" w:lineRule="auto"/>
        <w:rPr>
          <w:rFonts w:hint="eastAsia" w:ascii="宋体" w:hAnsi="宋体"/>
          <w:color w:val="auto"/>
          <w:sz w:val="24"/>
          <w:szCs w:val="24"/>
        </w:rPr>
      </w:pPr>
    </w:p>
    <w:p>
      <w:pPr>
        <w:tabs>
          <w:tab w:val="left" w:pos="6300"/>
        </w:tabs>
        <w:snapToGrid w:val="0"/>
        <w:spacing w:line="276" w:lineRule="auto"/>
        <w:rPr>
          <w:rFonts w:hint="eastAsia" w:ascii="宋体" w:hAnsi="宋体"/>
          <w:color w:val="auto"/>
          <w:szCs w:val="24"/>
        </w:rPr>
      </w:pPr>
    </w:p>
    <w:p>
      <w:pPr>
        <w:tabs>
          <w:tab w:val="left" w:pos="6300"/>
        </w:tabs>
        <w:snapToGrid w:val="0"/>
        <w:spacing w:line="276" w:lineRule="auto"/>
        <w:ind w:firstLine="570"/>
        <w:rPr>
          <w:rFonts w:hint="eastAsia" w:ascii="宋体" w:hAnsi="宋体"/>
          <w:color w:val="auto"/>
          <w:szCs w:val="24"/>
        </w:rPr>
      </w:pPr>
      <w:r>
        <w:rPr>
          <w:rFonts w:hint="eastAsia" w:ascii="宋体" w:hAnsi="宋体"/>
          <w:color w:val="auto"/>
          <w:szCs w:val="24"/>
        </w:rPr>
        <w:br w:type="page"/>
      </w:r>
      <w:r>
        <w:rPr>
          <w:rFonts w:hint="eastAsia" w:ascii="宋体" w:hAnsi="宋体"/>
          <w:color w:val="auto"/>
          <w:szCs w:val="24"/>
        </w:rPr>
        <w:t>（三）服务响应条款差异表</w:t>
      </w:r>
    </w:p>
    <w:p>
      <w:pPr>
        <w:spacing w:line="276" w:lineRule="auto"/>
        <w:rPr>
          <w:rFonts w:hint="eastAsia" w:ascii="宋体" w:hAnsi="宋体"/>
          <w:color w:val="auto"/>
        </w:rPr>
      </w:pPr>
      <w:r>
        <w:rPr>
          <w:rFonts w:hint="eastAsia" w:ascii="宋体" w:hAnsi="宋体"/>
          <w:color w:val="auto"/>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序号</w:t>
            </w: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磋商文件要求</w:t>
            </w: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应答情况</w:t>
            </w: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bl>
    <w:p>
      <w:pPr>
        <w:spacing w:line="276" w:lineRule="auto"/>
        <w:ind w:firstLine="600" w:firstLineChars="250"/>
        <w:rPr>
          <w:rFonts w:hint="eastAsia" w:ascii="宋体" w:hAnsi="宋体"/>
          <w:color w:val="auto"/>
          <w:sz w:val="24"/>
          <w:szCs w:val="28"/>
        </w:rPr>
      </w:pPr>
      <w:r>
        <w:rPr>
          <w:rFonts w:hint="eastAsia" w:ascii="宋体" w:hAnsi="宋体"/>
          <w:color w:val="auto"/>
          <w:sz w:val="24"/>
          <w:szCs w:val="28"/>
        </w:rPr>
        <w:t>供应商：                                  法定代表人授权代表：</w:t>
      </w:r>
    </w:p>
    <w:p>
      <w:pPr>
        <w:spacing w:line="276" w:lineRule="auto"/>
        <w:rPr>
          <w:rFonts w:hint="eastAsia" w:ascii="宋体" w:hAnsi="宋体"/>
          <w:color w:val="auto"/>
          <w:sz w:val="24"/>
          <w:szCs w:val="28"/>
        </w:rPr>
      </w:pPr>
      <w:r>
        <w:rPr>
          <w:rFonts w:hint="eastAsia" w:ascii="宋体" w:hAnsi="宋体"/>
          <w:color w:val="auto"/>
          <w:sz w:val="24"/>
          <w:szCs w:val="28"/>
        </w:rPr>
        <w:t xml:space="preserve">    </w:t>
      </w:r>
    </w:p>
    <w:p>
      <w:pPr>
        <w:spacing w:line="276" w:lineRule="auto"/>
        <w:ind w:firstLine="720" w:firstLineChars="300"/>
        <w:rPr>
          <w:rFonts w:hint="eastAsia" w:ascii="宋体" w:hAnsi="宋体"/>
          <w:color w:val="auto"/>
          <w:sz w:val="24"/>
          <w:szCs w:val="28"/>
        </w:rPr>
      </w:pPr>
      <w:r>
        <w:rPr>
          <w:rFonts w:hint="eastAsia" w:ascii="宋体" w:hAnsi="宋体"/>
          <w:color w:val="auto"/>
          <w:sz w:val="24"/>
          <w:szCs w:val="28"/>
        </w:rPr>
        <w:t>（供应商公章）                               （签字或盖章）</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szCs w:val="28"/>
        </w:rPr>
        <w:t xml:space="preserve">                                            年     月     日</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注：</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1、本表即为对本项目“第二篇 项目具体要求 ”中所列要求进行比较和响应；</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2、该表必须按照磋商文件要求逐条如实填写，根据情况在“差异说明”项填写正偏离或负偏离及原因，完全符合的填写“无差异”；</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3、该表可扩展；</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4、可附相关技术支撑材料。（格式自定）</w:t>
      </w:r>
    </w:p>
    <w:p>
      <w:pPr>
        <w:tabs>
          <w:tab w:val="left" w:pos="6300"/>
        </w:tabs>
        <w:snapToGrid w:val="0"/>
        <w:spacing w:line="276" w:lineRule="auto"/>
        <w:ind w:firstLine="570"/>
        <w:rPr>
          <w:rFonts w:hint="eastAsia" w:ascii="宋体" w:hAnsi="宋体"/>
          <w:color w:val="auto"/>
          <w:sz w:val="24"/>
          <w:szCs w:val="24"/>
        </w:rPr>
      </w:pPr>
    </w:p>
    <w:p>
      <w:pPr>
        <w:spacing w:line="276" w:lineRule="auto"/>
        <w:rPr>
          <w:rFonts w:hint="eastAsia" w:ascii="宋体" w:hAnsi="宋体"/>
          <w:color w:val="auto"/>
        </w:rPr>
      </w:pPr>
    </w:p>
    <w:p>
      <w:pPr>
        <w:spacing w:line="276" w:lineRule="auto"/>
        <w:rPr>
          <w:rFonts w:hint="eastAsia" w:ascii="宋体" w:hAnsi="宋体"/>
          <w:color w:val="auto"/>
        </w:rPr>
      </w:pPr>
    </w:p>
    <w:p>
      <w:pPr>
        <w:pStyle w:val="3"/>
        <w:pageBreakBefore/>
        <w:spacing w:line="276" w:lineRule="auto"/>
        <w:rPr>
          <w:rFonts w:hint="eastAsia"/>
          <w:b/>
          <w:color w:val="auto"/>
          <w:szCs w:val="28"/>
        </w:rPr>
      </w:pPr>
      <w:bookmarkStart w:id="66" w:name="_Toc441065698"/>
      <w:bookmarkStart w:id="67" w:name="_Toc429584888"/>
      <w:bookmarkStart w:id="68" w:name="_Toc2499"/>
      <w:r>
        <w:rPr>
          <w:rFonts w:hint="eastAsia"/>
          <w:b/>
          <w:color w:val="auto"/>
          <w:szCs w:val="28"/>
        </w:rPr>
        <w:t>四、其他</w:t>
      </w:r>
      <w:bookmarkEnd w:id="66"/>
      <w:bookmarkEnd w:id="67"/>
      <w:bookmarkEnd w:id="68"/>
    </w:p>
    <w:p>
      <w:pPr>
        <w:tabs>
          <w:tab w:val="left" w:pos="6300"/>
        </w:tabs>
        <w:snapToGrid w:val="0"/>
        <w:spacing w:line="276" w:lineRule="auto"/>
        <w:ind w:firstLine="560"/>
        <w:jc w:val="left"/>
        <w:rPr>
          <w:rFonts w:hint="eastAsia" w:ascii="宋体" w:hAnsi="宋体"/>
          <w:color w:val="auto"/>
          <w:sz w:val="21"/>
          <w:szCs w:val="21"/>
        </w:rPr>
      </w:pPr>
      <w:r>
        <w:rPr>
          <w:rFonts w:hint="eastAsia" w:ascii="宋体" w:hAnsi="宋体"/>
          <w:color w:val="auto"/>
          <w:sz w:val="21"/>
          <w:szCs w:val="21"/>
        </w:rPr>
        <w:t>（一）供应商中小微企业声明函、残疾人福利性单位声明函</w:t>
      </w:r>
    </w:p>
    <w:p>
      <w:pPr>
        <w:spacing w:line="276" w:lineRule="auto"/>
        <w:rPr>
          <w:rFonts w:hint="eastAsia" w:ascii="宋体" w:hAnsi="宋体"/>
          <w:color w:val="auto"/>
          <w:sz w:val="24"/>
          <w:szCs w:val="24"/>
        </w:rPr>
      </w:pPr>
      <w:r>
        <w:rPr>
          <w:rFonts w:hint="eastAsia" w:ascii="宋体" w:hAnsi="宋体"/>
          <w:color w:val="auto"/>
          <w:sz w:val="24"/>
          <w:szCs w:val="24"/>
        </w:rPr>
        <w:t>1.中小微企业声明函</w:t>
      </w:r>
    </w:p>
    <w:p>
      <w:pPr>
        <w:spacing w:line="276" w:lineRule="auto"/>
        <w:rPr>
          <w:rFonts w:hint="eastAsia" w:ascii="宋体" w:hAnsi="宋体"/>
          <w:color w:val="auto"/>
          <w:sz w:val="24"/>
          <w:szCs w:val="24"/>
          <w:u w:val="single"/>
        </w:rPr>
      </w:pPr>
      <w:r>
        <w:rPr>
          <w:rFonts w:hint="eastAsia" w:ascii="宋体" w:hAnsi="宋体"/>
          <w:color w:val="auto"/>
          <w:sz w:val="24"/>
          <w:szCs w:val="24"/>
        </w:rPr>
        <w:t xml:space="preserve">项目名称: </w:t>
      </w:r>
      <w:r>
        <w:rPr>
          <w:rFonts w:hint="eastAsia" w:ascii="宋体" w:hAnsi="宋体"/>
          <w:color w:val="auto"/>
          <w:sz w:val="24"/>
          <w:szCs w:val="24"/>
          <w:u w:val="single"/>
        </w:rPr>
        <w:t xml:space="preserve">                                </w:t>
      </w:r>
    </w:p>
    <w:p>
      <w:pPr>
        <w:spacing w:line="276" w:lineRule="auto"/>
        <w:rPr>
          <w:rFonts w:hint="eastAsia" w:ascii="宋体" w:hAnsi="宋体"/>
          <w:color w:val="auto"/>
          <w:sz w:val="24"/>
          <w:szCs w:val="24"/>
        </w:rPr>
      </w:pPr>
      <w:r>
        <w:rPr>
          <w:rFonts w:hint="eastAsia" w:ascii="宋体" w:hAnsi="宋体"/>
          <w:color w:val="auto"/>
          <w:sz w:val="24"/>
          <w:szCs w:val="24"/>
        </w:rPr>
        <w:t xml:space="preserve">致: </w:t>
      </w:r>
      <w:r>
        <w:rPr>
          <w:rFonts w:hint="eastAsia" w:ascii="宋体" w:hAnsi="宋体"/>
          <w:color w:val="auto"/>
          <w:sz w:val="24"/>
          <w:szCs w:val="24"/>
          <w:u w:val="single"/>
        </w:rPr>
        <w:t xml:space="preserve">                                     </w:t>
      </w:r>
      <w:r>
        <w:rPr>
          <w:rFonts w:hint="eastAsia" w:ascii="宋体" w:hAnsi="宋体"/>
          <w:color w:val="auto"/>
          <w:sz w:val="24"/>
          <w:szCs w:val="24"/>
        </w:rPr>
        <w:t>(采购人名称)</w:t>
      </w:r>
    </w:p>
    <w:p>
      <w:pPr>
        <w:spacing w:line="276" w:lineRule="auto"/>
        <w:rPr>
          <w:rFonts w:hint="eastAsia" w:ascii="宋体" w:hAnsi="宋体"/>
          <w:color w:val="auto"/>
          <w:sz w:val="24"/>
          <w:szCs w:val="24"/>
        </w:rPr>
      </w:pPr>
      <w:r>
        <w:rPr>
          <w:rFonts w:hint="eastAsia" w:ascii="宋体" w:hAnsi="宋体"/>
          <w:color w:val="auto"/>
          <w:sz w:val="24"/>
          <w:szCs w:val="24"/>
        </w:rPr>
        <w:t>本企业郑重声明，根据《政府采购促进中小企业发展暂行办法》(财库【2011】181号)的规定，本企业为</w:t>
      </w:r>
      <w:r>
        <w:rPr>
          <w:rFonts w:hint="eastAsia" w:ascii="宋体" w:hAnsi="宋体"/>
          <w:color w:val="auto"/>
          <w:sz w:val="24"/>
          <w:szCs w:val="24"/>
          <w:u w:val="single"/>
        </w:rPr>
        <w:t xml:space="preserve">                 </w:t>
      </w:r>
      <w:r>
        <w:rPr>
          <w:rFonts w:hint="eastAsia" w:ascii="宋体" w:hAnsi="宋体"/>
          <w:color w:val="auto"/>
          <w:sz w:val="24"/>
          <w:szCs w:val="24"/>
        </w:rPr>
        <w:t>(请填写:中型、小型、微型)企业。即，本企业同时满足以下条件:</w:t>
      </w:r>
    </w:p>
    <w:p>
      <w:pPr>
        <w:spacing w:line="276" w:lineRule="auto"/>
        <w:rPr>
          <w:rFonts w:hint="eastAsia" w:ascii="宋体" w:hAnsi="宋体"/>
          <w:color w:val="auto"/>
          <w:sz w:val="24"/>
          <w:szCs w:val="24"/>
        </w:rPr>
      </w:pPr>
      <w:r>
        <w:rPr>
          <w:rFonts w:hint="eastAsia" w:ascii="宋体" w:hAnsi="宋体"/>
          <w:color w:val="auto"/>
          <w:sz w:val="24"/>
          <w:szCs w:val="24"/>
        </w:rPr>
        <w:t>1.根据《工业和信息化部 国家统计局 国家发展和改革委员会 财政部关于印发中小企业划型标准规定的通知》（工信部联企业【2011】300号)的划分标准，本企业为</w:t>
      </w:r>
      <w:r>
        <w:rPr>
          <w:rFonts w:hint="eastAsia" w:ascii="宋体" w:hAnsi="宋体"/>
          <w:color w:val="auto"/>
          <w:sz w:val="24"/>
          <w:szCs w:val="24"/>
          <w:u w:val="single"/>
        </w:rPr>
        <w:t xml:space="preserve">                 </w:t>
      </w:r>
      <w:r>
        <w:rPr>
          <w:rFonts w:hint="eastAsia" w:ascii="宋体" w:hAnsi="宋体"/>
          <w:color w:val="auto"/>
          <w:sz w:val="24"/>
          <w:szCs w:val="24"/>
        </w:rPr>
        <w:t>行业            (行业类别)的</w:t>
      </w:r>
      <w:r>
        <w:rPr>
          <w:rFonts w:hint="eastAsia" w:ascii="宋体" w:hAnsi="宋体"/>
          <w:color w:val="auto"/>
          <w:sz w:val="24"/>
          <w:szCs w:val="24"/>
          <w:u w:val="single"/>
        </w:rPr>
        <w:t xml:space="preserve">               </w:t>
      </w:r>
      <w:r>
        <w:rPr>
          <w:rFonts w:hint="eastAsia" w:ascii="宋体" w:hAnsi="宋体"/>
          <w:color w:val="auto"/>
          <w:sz w:val="24"/>
          <w:szCs w:val="24"/>
        </w:rPr>
        <w:t>(请填写:中型、小型、微型)企业。</w:t>
      </w:r>
    </w:p>
    <w:p>
      <w:pPr>
        <w:spacing w:line="276" w:lineRule="auto"/>
        <w:rPr>
          <w:rFonts w:hint="eastAsia" w:ascii="宋体" w:hAnsi="宋体"/>
          <w:color w:val="auto"/>
          <w:sz w:val="24"/>
          <w:szCs w:val="24"/>
        </w:rPr>
      </w:pPr>
      <w:r>
        <w:rPr>
          <w:rFonts w:hint="eastAsia" w:ascii="宋体" w:hAnsi="宋体"/>
          <w:color w:val="auto"/>
          <w:sz w:val="24"/>
          <w:szCs w:val="24"/>
        </w:rPr>
        <w:t>2.本企业参加本项目提供本企业制造的货物、承担的工程或者服务，或者提供他小微企业制造的货物。</w:t>
      </w:r>
    </w:p>
    <w:p>
      <w:pPr>
        <w:spacing w:line="276" w:lineRule="auto"/>
        <w:rPr>
          <w:rFonts w:hint="eastAsia" w:ascii="宋体" w:hAnsi="宋体"/>
          <w:color w:val="auto"/>
          <w:sz w:val="24"/>
          <w:szCs w:val="24"/>
        </w:rPr>
      </w:pPr>
      <w:r>
        <w:rPr>
          <w:rFonts w:hint="eastAsia" w:ascii="宋体" w:hAnsi="宋体"/>
          <w:color w:val="auto"/>
          <w:sz w:val="24"/>
          <w:szCs w:val="24"/>
        </w:rPr>
        <w:t>企业基本情况表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625"/>
        <w:gridCol w:w="205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行业类别</w:t>
            </w:r>
          </w:p>
        </w:tc>
        <w:tc>
          <w:tcPr>
            <w:tcW w:w="2625"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营业收入(万元)</w:t>
            </w:r>
          </w:p>
        </w:tc>
        <w:tc>
          <w:tcPr>
            <w:tcW w:w="2055"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从业人员(人)</w:t>
            </w:r>
          </w:p>
        </w:tc>
        <w:tc>
          <w:tcPr>
            <w:tcW w:w="2385"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spacing w:line="276" w:lineRule="auto"/>
              <w:rPr>
                <w:rFonts w:hint="eastAsia" w:ascii="宋体" w:hAnsi="宋体"/>
                <w:color w:val="auto"/>
                <w:sz w:val="24"/>
                <w:szCs w:val="24"/>
              </w:rPr>
            </w:pPr>
          </w:p>
        </w:tc>
        <w:tc>
          <w:tcPr>
            <w:tcW w:w="2625" w:type="dxa"/>
            <w:noWrap w:val="0"/>
            <w:vAlign w:val="top"/>
          </w:tcPr>
          <w:p>
            <w:pPr>
              <w:spacing w:line="276" w:lineRule="auto"/>
              <w:rPr>
                <w:rFonts w:hint="eastAsia" w:ascii="宋体" w:hAnsi="宋体"/>
                <w:color w:val="auto"/>
                <w:sz w:val="24"/>
                <w:szCs w:val="24"/>
              </w:rPr>
            </w:pPr>
          </w:p>
        </w:tc>
        <w:tc>
          <w:tcPr>
            <w:tcW w:w="2055" w:type="dxa"/>
            <w:noWrap w:val="0"/>
            <w:vAlign w:val="top"/>
          </w:tcPr>
          <w:p>
            <w:pPr>
              <w:spacing w:line="276" w:lineRule="auto"/>
              <w:rPr>
                <w:rFonts w:hint="eastAsia" w:ascii="宋体" w:hAnsi="宋体"/>
                <w:color w:val="auto"/>
                <w:sz w:val="24"/>
                <w:szCs w:val="24"/>
              </w:rPr>
            </w:pPr>
          </w:p>
        </w:tc>
        <w:tc>
          <w:tcPr>
            <w:tcW w:w="2385" w:type="dxa"/>
            <w:noWrap w:val="0"/>
            <w:vAlign w:val="top"/>
          </w:tcPr>
          <w:p>
            <w:pPr>
              <w:spacing w:line="276" w:lineRule="auto"/>
              <w:rPr>
                <w:rFonts w:hint="eastAsia" w:ascii="宋体" w:hAnsi="宋体"/>
                <w:color w:val="auto"/>
                <w:sz w:val="24"/>
                <w:szCs w:val="24"/>
              </w:rPr>
            </w:pPr>
          </w:p>
        </w:tc>
      </w:tr>
    </w:tbl>
    <w:p>
      <w:pPr>
        <w:spacing w:line="276" w:lineRule="auto"/>
        <w:rPr>
          <w:rFonts w:hint="eastAsia" w:ascii="宋体" w:hAnsi="宋体"/>
          <w:color w:val="auto"/>
          <w:sz w:val="24"/>
          <w:szCs w:val="24"/>
        </w:rPr>
      </w:pPr>
      <w:r>
        <w:rPr>
          <w:rFonts w:hint="eastAsia" w:ascii="宋体" w:hAnsi="宋体"/>
          <w:color w:val="auto"/>
          <w:sz w:val="24"/>
          <w:szCs w:val="24"/>
        </w:rPr>
        <w:t>本企业对上述声明的真实性负责。如有虚假，将依法承担相应责任。</w:t>
      </w:r>
    </w:p>
    <w:p>
      <w:pPr>
        <w:spacing w:line="276" w:lineRule="auto"/>
        <w:rPr>
          <w:rFonts w:hint="eastAsia" w:ascii="宋体" w:hAnsi="宋体"/>
          <w:color w:val="auto"/>
          <w:sz w:val="24"/>
          <w:szCs w:val="24"/>
        </w:rPr>
      </w:pPr>
    </w:p>
    <w:p>
      <w:pPr>
        <w:spacing w:line="276" w:lineRule="auto"/>
        <w:rPr>
          <w:rFonts w:hint="eastAsia" w:ascii="宋体" w:hAnsi="宋体"/>
          <w:color w:val="auto"/>
          <w:sz w:val="24"/>
          <w:szCs w:val="24"/>
        </w:rPr>
      </w:pPr>
      <w:r>
        <w:rPr>
          <w:rFonts w:hint="eastAsia" w:ascii="宋体" w:hAnsi="宋体"/>
          <w:color w:val="auto"/>
          <w:sz w:val="24"/>
          <w:szCs w:val="24"/>
        </w:rPr>
        <w:t>供应商名称(公章)：</w:t>
      </w:r>
    </w:p>
    <w:p>
      <w:pPr>
        <w:spacing w:line="276" w:lineRule="auto"/>
        <w:rPr>
          <w:rFonts w:hint="eastAsia" w:ascii="宋体" w:hAnsi="宋体"/>
          <w:color w:val="auto"/>
          <w:sz w:val="24"/>
          <w:szCs w:val="24"/>
        </w:rPr>
      </w:pPr>
      <w:r>
        <w:rPr>
          <w:rFonts w:hint="eastAsia" w:ascii="宋体" w:hAnsi="宋体"/>
          <w:color w:val="auto"/>
          <w:sz w:val="24"/>
          <w:szCs w:val="24"/>
        </w:rPr>
        <w:t>年  月  日</w:t>
      </w:r>
    </w:p>
    <w:p>
      <w:pPr>
        <w:spacing w:line="276" w:lineRule="auto"/>
        <w:rPr>
          <w:rFonts w:hint="eastAsia" w:ascii="宋体" w:hAnsi="宋体"/>
          <w:color w:val="auto"/>
          <w:sz w:val="24"/>
          <w:szCs w:val="24"/>
        </w:rPr>
      </w:pPr>
      <w:r>
        <w:rPr>
          <w:rFonts w:hint="eastAsia" w:ascii="宋体" w:hAnsi="宋体"/>
          <w:color w:val="auto"/>
          <w:sz w:val="24"/>
          <w:szCs w:val="24"/>
        </w:rPr>
        <w:t>填写《企业基本情况表》时，应注意以下事项:</w:t>
      </w:r>
    </w:p>
    <w:p>
      <w:pPr>
        <w:spacing w:line="276" w:lineRule="auto"/>
        <w:rPr>
          <w:rFonts w:hint="eastAsia" w:ascii="宋体" w:hAnsi="宋体"/>
          <w:color w:val="auto"/>
          <w:sz w:val="24"/>
          <w:szCs w:val="24"/>
        </w:rPr>
      </w:pPr>
      <w:r>
        <w:rPr>
          <w:rFonts w:hint="eastAsia" w:ascii="宋体" w:hAnsi="宋体"/>
          <w:color w:val="auto"/>
          <w:sz w:val="24"/>
          <w:szCs w:val="24"/>
        </w:rPr>
        <w:t>1.除建筑业、房地产开发经营、租赁和商务服务业三个行业</w:t>
      </w:r>
    </w:p>
    <w:p>
      <w:pPr>
        <w:spacing w:line="276" w:lineRule="auto"/>
        <w:rPr>
          <w:rFonts w:hint="eastAsia" w:ascii="宋体" w:hAnsi="宋体"/>
          <w:color w:val="auto"/>
          <w:sz w:val="24"/>
          <w:szCs w:val="24"/>
        </w:rPr>
      </w:pPr>
      <w:r>
        <w:rPr>
          <w:rFonts w:hint="eastAsia" w:ascii="宋体" w:hAnsi="宋体"/>
          <w:color w:val="auto"/>
          <w:sz w:val="24"/>
          <w:szCs w:val="24"/>
        </w:rPr>
        <w:t>外，其余行业无需填写资产总额项。</w:t>
      </w:r>
    </w:p>
    <w:p>
      <w:pPr>
        <w:spacing w:line="276" w:lineRule="auto"/>
        <w:rPr>
          <w:rFonts w:hint="eastAsia" w:ascii="宋体" w:hAnsi="宋体"/>
          <w:color w:val="auto"/>
          <w:sz w:val="24"/>
          <w:szCs w:val="24"/>
        </w:rPr>
      </w:pPr>
      <w:r>
        <w:rPr>
          <w:rFonts w:hint="eastAsia" w:ascii="宋体" w:hAnsi="宋体"/>
          <w:color w:val="auto"/>
          <w:sz w:val="24"/>
          <w:szCs w:val="24"/>
        </w:rPr>
        <w:t>2.农、林、牧、渔业无需填写从业人员和资产总额项。</w:t>
      </w:r>
    </w:p>
    <w:p>
      <w:pPr>
        <w:spacing w:line="276" w:lineRule="auto"/>
        <w:rPr>
          <w:rFonts w:hint="eastAsia" w:ascii="宋体" w:hAnsi="宋体"/>
          <w:color w:val="auto"/>
          <w:sz w:val="24"/>
          <w:szCs w:val="24"/>
        </w:rPr>
      </w:pPr>
      <w:r>
        <w:rPr>
          <w:rFonts w:hint="eastAsia" w:ascii="宋体" w:hAnsi="宋体"/>
          <w:color w:val="auto"/>
          <w:sz w:val="24"/>
          <w:szCs w:val="24"/>
        </w:rPr>
        <w:t>3.小微企业投标(供应)的产品若涉及到其他企业制造且符合扶持小微企业政策的，还需提供所涉及的其他企业的《中小微企业声明函》，否则将不被认定为小微企业。</w:t>
      </w:r>
    </w:p>
    <w:p>
      <w:pPr>
        <w:spacing w:line="276" w:lineRule="auto"/>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rFonts w:hint="eastAsia" w:ascii="宋体" w:hAnsi="宋体"/>
          <w:color w:val="auto"/>
        </w:rPr>
      </w:pPr>
    </w:p>
    <w:p>
      <w:pPr>
        <w:pStyle w:val="28"/>
        <w:rPr>
          <w:rFonts w:hint="eastAsia" w:ascii="宋体" w:hAnsi="宋体"/>
          <w:color w:val="auto"/>
        </w:rPr>
      </w:pPr>
    </w:p>
    <w:p>
      <w:pPr>
        <w:rPr>
          <w:color w:val="auto"/>
        </w:rPr>
      </w:pPr>
    </w:p>
    <w:p>
      <w:pPr>
        <w:tabs>
          <w:tab w:val="left" w:pos="6300"/>
        </w:tabs>
        <w:snapToGrid w:val="0"/>
        <w:spacing w:line="276" w:lineRule="auto"/>
        <w:ind w:firstLine="420" w:firstLineChars="200"/>
        <w:outlineLvl w:val="0"/>
        <w:rPr>
          <w:rFonts w:hint="eastAsia" w:ascii="宋体" w:hAnsi="宋体"/>
          <w:color w:val="auto"/>
          <w:sz w:val="21"/>
          <w:szCs w:val="21"/>
        </w:rPr>
      </w:pPr>
    </w:p>
    <w:p>
      <w:pPr>
        <w:tabs>
          <w:tab w:val="left" w:pos="6300"/>
        </w:tabs>
        <w:snapToGrid w:val="0"/>
        <w:spacing w:line="276" w:lineRule="auto"/>
        <w:ind w:firstLine="420" w:firstLineChars="200"/>
        <w:outlineLvl w:val="0"/>
        <w:rPr>
          <w:rFonts w:hint="eastAsia" w:ascii="宋体" w:hAnsi="宋体"/>
          <w:color w:val="auto"/>
          <w:sz w:val="21"/>
          <w:szCs w:val="21"/>
        </w:rPr>
      </w:pPr>
    </w:p>
    <w:p>
      <w:pPr>
        <w:spacing w:line="276" w:lineRule="auto"/>
        <w:rPr>
          <w:rFonts w:hint="eastAsia" w:ascii="宋体" w:hAnsi="宋体"/>
          <w:color w:val="auto"/>
        </w:rPr>
      </w:pPr>
      <w:r>
        <w:rPr>
          <w:rFonts w:hint="eastAsia" w:ascii="宋体" w:hAnsi="宋体"/>
          <w:color w:val="auto"/>
        </w:rPr>
        <w:t>2.残疾人福利性单位声明函</w:t>
      </w:r>
    </w:p>
    <w:p>
      <w:pPr>
        <w:spacing w:line="276" w:lineRule="auto"/>
        <w:jc w:val="center"/>
        <w:rPr>
          <w:rFonts w:hint="eastAsia" w:ascii="宋体" w:hAnsi="宋体"/>
          <w:color w:val="auto"/>
        </w:rPr>
      </w:pPr>
      <w:r>
        <w:rPr>
          <w:rFonts w:hint="eastAsia" w:ascii="宋体" w:hAnsi="宋体"/>
          <w:color w:val="auto"/>
        </w:rPr>
        <w:t>残疾人福利性单位声明函</w:t>
      </w: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本单位对上述声明的真实性负责。如有虚假，将依法承担相应责任。</w:t>
      </w:r>
    </w:p>
    <w:p>
      <w:pPr>
        <w:tabs>
          <w:tab w:val="left" w:pos="6300"/>
        </w:tabs>
        <w:snapToGrid w:val="0"/>
        <w:spacing w:line="276" w:lineRule="auto"/>
        <w:ind w:firstLine="420" w:firstLineChars="200"/>
        <w:rPr>
          <w:rFonts w:hint="eastAsia" w:ascii="宋体" w:hAnsi="宋体"/>
          <w:color w:val="auto"/>
          <w:sz w:val="21"/>
          <w:szCs w:val="21"/>
        </w:rPr>
      </w:pPr>
    </w:p>
    <w:p>
      <w:pPr>
        <w:tabs>
          <w:tab w:val="left" w:pos="6300"/>
        </w:tabs>
        <w:snapToGrid w:val="0"/>
        <w:spacing w:line="276" w:lineRule="auto"/>
        <w:ind w:firstLine="420" w:firstLineChars="200"/>
        <w:rPr>
          <w:rFonts w:hint="eastAsia" w:ascii="宋体" w:hAnsi="宋体"/>
          <w:color w:val="auto"/>
          <w:sz w:val="21"/>
          <w:szCs w:val="21"/>
        </w:rPr>
      </w:pP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 xml:space="preserve">                                                  投标人名称（盖章）：</w:t>
      </w:r>
    </w:p>
    <w:p>
      <w:pPr>
        <w:tabs>
          <w:tab w:val="left" w:pos="6300"/>
        </w:tabs>
        <w:snapToGrid w:val="0"/>
        <w:spacing w:line="276" w:lineRule="auto"/>
        <w:ind w:firstLine="570"/>
        <w:jc w:val="left"/>
        <w:rPr>
          <w:rFonts w:hint="eastAsia" w:ascii="宋体" w:hAnsi="宋体"/>
          <w:color w:val="auto"/>
          <w:sz w:val="21"/>
          <w:szCs w:val="21"/>
        </w:rPr>
      </w:pPr>
      <w:r>
        <w:rPr>
          <w:rFonts w:hint="eastAsia" w:ascii="宋体" w:hAnsi="宋体"/>
          <w:color w:val="auto"/>
          <w:sz w:val="21"/>
          <w:szCs w:val="21"/>
        </w:rPr>
        <w:t xml:space="preserve">                                                  日  期：</w:t>
      </w: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spacing w:line="276" w:lineRule="auto"/>
        <w:rPr>
          <w:rFonts w:hint="eastAsia" w:ascii="宋体" w:hAnsi="宋体"/>
          <w:color w:val="auto"/>
        </w:rPr>
      </w:pPr>
      <w:r>
        <w:rPr>
          <w:rFonts w:hint="eastAsia" w:ascii="宋体" w:hAnsi="宋体"/>
          <w:color w:val="auto"/>
        </w:rPr>
        <w:t>（二）其他与项目有关的资料（自附）</w:t>
      </w: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jc w:val="center"/>
        <w:rPr>
          <w:rFonts w:hint="eastAsia" w:ascii="宋体" w:hAnsi="宋体"/>
          <w:color w:val="auto"/>
        </w:rPr>
      </w:pPr>
      <w:r>
        <w:rPr>
          <w:rFonts w:hint="eastAsia" w:ascii="宋体" w:hAnsi="宋体"/>
          <w:color w:val="auto"/>
        </w:rPr>
        <w:t>（结束）</w:t>
      </w:r>
    </w:p>
    <w:sectPr>
      <w:headerReference r:id="rId9" w:type="default"/>
      <w:footerReference r:id="rId10"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宋体"/>
    <w:panose1 w:val="020B060901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hint="eastAsia"/>
        <w:sz w:val="24"/>
      </w:rPr>
    </w:pPr>
    <w:r>
      <w:rPr>
        <w:sz w:val="24"/>
      </w:rPr>
      <w:fldChar w:fldCharType="begin"/>
    </w:r>
    <w:r>
      <w:rPr>
        <w:rStyle w:val="62"/>
        <w:sz w:val="24"/>
      </w:rPr>
      <w:instrText xml:space="preserve"> PAGE </w:instrText>
    </w:r>
    <w:r>
      <w:rPr>
        <w:sz w:val="24"/>
      </w:rPr>
      <w:fldChar w:fldCharType="separate"/>
    </w:r>
    <w:r>
      <w:rPr>
        <w:rStyle w:val="62"/>
        <w:sz w:val="24"/>
      </w:rPr>
      <w:t>- 1 -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w:fldChar w:fldCharType="begin"/>
    </w:r>
    <w:r>
      <w:rPr>
        <w:rStyle w:val="62"/>
      </w:rPr>
      <w:instrText xml:space="preserve"> PAGE </w:instrText>
    </w:r>
    <w:r>
      <w:fldChar w:fldCharType="separate"/>
    </w:r>
    <w:r>
      <w:rPr>
        <w:rStyle w:val="62"/>
      </w:rPr>
      <w:t>- 34 -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jc w:val="left"/>
      <w:rPr>
        <w:rFonts w:hint="eastAsia" w:ascii="方正仿宋_GBK" w:eastAsia="方正仿宋_GBK"/>
        <w:sz w:val="21"/>
        <w:szCs w:val="24"/>
      </w:rPr>
    </w:pPr>
    <w:r>
      <w:rPr>
        <w:rFonts w:hint="eastAsia" w:ascii="方正仿宋_GBK" w:eastAsia="方正仿宋_GBK"/>
        <w:sz w:val="21"/>
        <w:szCs w:val="24"/>
      </w:rPr>
      <w:t>重庆市第九人民医院                                                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hint="eastAsia" w:ascii="方正仿宋_GBK" w:eastAsia="方正仿宋_GBK"/>
        <w:sz w:val="21"/>
        <w:szCs w:val="21"/>
      </w:rPr>
    </w:pPr>
    <w:r>
      <w:rPr>
        <w:rFonts w:hint="eastAsia" w:ascii="方正仿宋_GBK" w:eastAsia="方正仿宋_GBK"/>
        <w:sz w:val="21"/>
        <w:szCs w:val="24"/>
      </w:rPr>
      <w:t xml:space="preserve">重庆市第九人民医院 </w:t>
    </w:r>
    <w:r>
      <w:rPr>
        <w:rFonts w:hint="eastAsia" w:ascii="方正仿宋_GBK" w:eastAsia="方正仿宋_GBK"/>
        <w:sz w:val="21"/>
        <w:szCs w:val="21"/>
      </w:rPr>
      <w:t xml:space="preserve">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15237"/>
    <w:multiLevelType w:val="singleLevel"/>
    <w:tmpl w:val="9CC15237"/>
    <w:lvl w:ilvl="0" w:tentative="0">
      <w:start w:val="2"/>
      <w:numFmt w:val="decimal"/>
      <w:suff w:val="nothing"/>
      <w:lvlText w:val="%1、"/>
      <w:lvlJc w:val="left"/>
    </w:lvl>
  </w:abstractNum>
  <w:abstractNum w:abstractNumId="1">
    <w:nsid w:val="D0FA0E0F"/>
    <w:multiLevelType w:val="multilevel"/>
    <w:tmpl w:val="D0FA0E0F"/>
    <w:lvl w:ilvl="0" w:tentative="0">
      <w:start w:val="1"/>
      <w:numFmt w:val="decimal"/>
      <w:suff w:val="nothing"/>
      <w:lvlText w:val="%1"/>
      <w:lvlJc w:val="righ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00000003"/>
    <w:multiLevelType w:val="singleLevel"/>
    <w:tmpl w:val="00000003"/>
    <w:lvl w:ilvl="0" w:tentative="0">
      <w:start w:val="1"/>
      <w:numFmt w:val="decimal"/>
      <w:pStyle w:val="13"/>
      <w:lvlText w:val="%1."/>
      <w:lvlJc w:val="left"/>
      <w:pPr>
        <w:tabs>
          <w:tab w:val="left" w:pos="780"/>
        </w:tabs>
        <w:ind w:left="780" w:hanging="360"/>
      </w:pPr>
    </w:lvl>
  </w:abstractNum>
  <w:abstractNum w:abstractNumId="3">
    <w:nsid w:val="00000005"/>
    <w:multiLevelType w:val="multilevel"/>
    <w:tmpl w:val="00000005"/>
    <w:lvl w:ilvl="0" w:tentative="0">
      <w:start w:val="1"/>
      <w:numFmt w:val="bullet"/>
      <w:pStyle w:val="115"/>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4">
    <w:nsid w:val="00000006"/>
    <w:multiLevelType w:val="singleLevel"/>
    <w:tmpl w:val="00000006"/>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5">
    <w:nsid w:val="00000007"/>
    <w:multiLevelType w:val="multilevel"/>
    <w:tmpl w:val="00000007"/>
    <w:lvl w:ilvl="0" w:tentative="0">
      <w:start w:val="1"/>
      <w:numFmt w:val="bullet"/>
      <w:pStyle w:val="168"/>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7"/>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A"/>
    <w:multiLevelType w:val="multilevel"/>
    <w:tmpl w:val="0000000A"/>
    <w:lvl w:ilvl="0" w:tentative="0">
      <w:start w:val="8"/>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36"/>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12"/>
    <w:multiLevelType w:val="singleLevel"/>
    <w:tmpl w:val="00000012"/>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3"/>
    <w:multiLevelType w:val="multilevel"/>
    <w:tmpl w:val="00000013"/>
    <w:lvl w:ilvl="0" w:tentative="0">
      <w:start w:val="1"/>
      <w:numFmt w:val="bullet"/>
      <w:pStyle w:val="12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4"/>
    <w:multiLevelType w:val="multilevel"/>
    <w:tmpl w:val="00000014"/>
    <w:lvl w:ilvl="0" w:tentative="0">
      <w:start w:val="1"/>
      <w:numFmt w:val="japaneseCounting"/>
      <w:lvlText w:val="第%1篇"/>
      <w:lvlJc w:val="left"/>
      <w:pPr>
        <w:tabs>
          <w:tab w:val="left" w:pos="1530"/>
        </w:tabs>
        <w:ind w:left="1530" w:hanging="15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5"/>
    <w:multiLevelType w:val="multilevel"/>
    <w:tmpl w:val="00000015"/>
    <w:lvl w:ilvl="0" w:tentative="0">
      <w:start w:val="1"/>
      <w:numFmt w:val="decimal"/>
      <w:pStyle w:val="186"/>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6"/>
    <w:multiLevelType w:val="singleLevel"/>
    <w:tmpl w:val="00000016"/>
    <w:lvl w:ilvl="0" w:tentative="0">
      <w:start w:val="1"/>
      <w:numFmt w:val="bullet"/>
      <w:pStyle w:val="163"/>
      <w:lvlText w:val=""/>
      <w:lvlJc w:val="left"/>
      <w:pPr>
        <w:tabs>
          <w:tab w:val="left" w:pos="360"/>
        </w:tabs>
        <w:ind w:left="360" w:hanging="360"/>
      </w:pPr>
      <w:rPr>
        <w:rFonts w:hint="default" w:ascii="Wingdings" w:hAnsi="Wingdings"/>
      </w:rPr>
    </w:lvl>
  </w:abstractNum>
  <w:abstractNum w:abstractNumId="13">
    <w:nsid w:val="00000017"/>
    <w:multiLevelType w:val="singleLevel"/>
    <w:tmpl w:val="00000017"/>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14">
    <w:nsid w:val="00000019"/>
    <w:multiLevelType w:val="singleLevel"/>
    <w:tmpl w:val="00000019"/>
    <w:lvl w:ilvl="0" w:tentative="0">
      <w:start w:val="1"/>
      <w:numFmt w:val="decimal"/>
      <w:pStyle w:val="152"/>
      <w:lvlText w:val="%1)"/>
      <w:lvlJc w:val="left"/>
      <w:pPr>
        <w:tabs>
          <w:tab w:val="left" w:pos="425"/>
        </w:tabs>
        <w:ind w:left="425" w:hanging="425"/>
      </w:pPr>
      <w:rPr>
        <w:rFonts w:hint="eastAsia"/>
      </w:rPr>
    </w:lvl>
  </w:abstractNum>
  <w:abstractNum w:abstractNumId="15">
    <w:nsid w:val="0000001A"/>
    <w:multiLevelType w:val="multilevel"/>
    <w:tmpl w:val="0000001A"/>
    <w:lvl w:ilvl="0" w:tentative="0">
      <w:start w:val="1"/>
      <w:numFmt w:val="decimal"/>
      <w:pStyle w:val="9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D"/>
    <w:multiLevelType w:val="multilevel"/>
    <w:tmpl w:val="0000001D"/>
    <w:lvl w:ilvl="0" w:tentative="0">
      <w:start w:val="1"/>
      <w:numFmt w:val="chineseCountingThousand"/>
      <w:pStyle w:val="17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8C42096"/>
    <w:multiLevelType w:val="singleLevel"/>
    <w:tmpl w:val="18C42096"/>
    <w:lvl w:ilvl="0" w:tentative="0">
      <w:start w:val="1"/>
      <w:numFmt w:val="decimal"/>
      <w:suff w:val="nothing"/>
      <w:lvlText w:val="%1、"/>
      <w:lvlJc w:val="left"/>
    </w:lvl>
  </w:abstractNum>
  <w:abstractNum w:abstractNumId="18">
    <w:nsid w:val="450B7BF6"/>
    <w:multiLevelType w:val="multilevel"/>
    <w:tmpl w:val="450B7BF6"/>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77A22FA"/>
    <w:multiLevelType w:val="singleLevel"/>
    <w:tmpl w:val="577A22FA"/>
    <w:lvl w:ilvl="0" w:tentative="0">
      <w:start w:val="2"/>
      <w:numFmt w:val="chineseCounting"/>
      <w:suff w:val="nothing"/>
      <w:lvlText w:val="（%1）"/>
      <w:lvlJc w:val="left"/>
    </w:lvl>
  </w:abstractNum>
  <w:abstractNum w:abstractNumId="20">
    <w:nsid w:val="57C00750"/>
    <w:multiLevelType w:val="singleLevel"/>
    <w:tmpl w:val="57C00750"/>
    <w:lvl w:ilvl="0" w:tentative="0">
      <w:start w:val="1"/>
      <w:numFmt w:val="chineseCounting"/>
      <w:suff w:val="nothing"/>
      <w:lvlText w:val="（%1）"/>
      <w:lvlJc w:val="left"/>
    </w:lvl>
  </w:abstractNum>
  <w:num w:numId="1">
    <w:abstractNumId w:val="18"/>
  </w:num>
  <w:num w:numId="2">
    <w:abstractNumId w:val="2"/>
  </w:num>
  <w:num w:numId="3">
    <w:abstractNumId w:val="4"/>
  </w:num>
  <w:num w:numId="4">
    <w:abstractNumId w:val="13"/>
  </w:num>
  <w:num w:numId="5">
    <w:abstractNumId w:val="8"/>
  </w:num>
  <w:num w:numId="6">
    <w:abstractNumId w:val="15"/>
  </w:num>
  <w:num w:numId="7">
    <w:abstractNumId w:val="3"/>
  </w:num>
  <w:num w:numId="8">
    <w:abstractNumId w:val="6"/>
  </w:num>
  <w:num w:numId="9">
    <w:abstractNumId w:val="9"/>
  </w:num>
  <w:num w:numId="10">
    <w:abstractNumId w:val="7"/>
  </w:num>
  <w:num w:numId="11">
    <w:abstractNumId w:val="14"/>
  </w:num>
  <w:num w:numId="12">
    <w:abstractNumId w:val="12"/>
  </w:num>
  <w:num w:numId="13">
    <w:abstractNumId w:val="5"/>
  </w:num>
  <w:num w:numId="14">
    <w:abstractNumId w:val="16"/>
  </w:num>
  <w:num w:numId="15">
    <w:abstractNumId w:val="11"/>
  </w:num>
  <w:num w:numId="16">
    <w:abstractNumId w:val="10"/>
  </w:num>
  <w:num w:numId="17">
    <w:abstractNumId w:val="0"/>
  </w:num>
  <w:num w:numId="18">
    <w:abstractNumId w:val="1"/>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0"/>
  <w:hyphenationZone w:val="36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52"/>
    <w:rsid w:val="00006772"/>
    <w:rsid w:val="000072F0"/>
    <w:rsid w:val="00011974"/>
    <w:rsid w:val="00011AF1"/>
    <w:rsid w:val="000159CA"/>
    <w:rsid w:val="00021946"/>
    <w:rsid w:val="00025013"/>
    <w:rsid w:val="000266A1"/>
    <w:rsid w:val="00034A67"/>
    <w:rsid w:val="00036148"/>
    <w:rsid w:val="0003767C"/>
    <w:rsid w:val="000376BA"/>
    <w:rsid w:val="00042250"/>
    <w:rsid w:val="00043311"/>
    <w:rsid w:val="00047EC0"/>
    <w:rsid w:val="00056058"/>
    <w:rsid w:val="00060807"/>
    <w:rsid w:val="00060E35"/>
    <w:rsid w:val="0006572E"/>
    <w:rsid w:val="00067E6F"/>
    <w:rsid w:val="00075520"/>
    <w:rsid w:val="000946BD"/>
    <w:rsid w:val="00094D91"/>
    <w:rsid w:val="000A1394"/>
    <w:rsid w:val="000A2529"/>
    <w:rsid w:val="000A5589"/>
    <w:rsid w:val="000A6C5F"/>
    <w:rsid w:val="000B2716"/>
    <w:rsid w:val="000C2017"/>
    <w:rsid w:val="000C44E3"/>
    <w:rsid w:val="000E43DC"/>
    <w:rsid w:val="000F16AA"/>
    <w:rsid w:val="000F176A"/>
    <w:rsid w:val="00100D7A"/>
    <w:rsid w:val="001103D7"/>
    <w:rsid w:val="00110AA3"/>
    <w:rsid w:val="0011194D"/>
    <w:rsid w:val="00124CAB"/>
    <w:rsid w:val="00135250"/>
    <w:rsid w:val="001407F6"/>
    <w:rsid w:val="00146F1F"/>
    <w:rsid w:val="001528E5"/>
    <w:rsid w:val="00154A37"/>
    <w:rsid w:val="001572A0"/>
    <w:rsid w:val="00161645"/>
    <w:rsid w:val="00173A9E"/>
    <w:rsid w:val="001767A8"/>
    <w:rsid w:val="00177752"/>
    <w:rsid w:val="00184668"/>
    <w:rsid w:val="001864B0"/>
    <w:rsid w:val="001A0940"/>
    <w:rsid w:val="001C7048"/>
    <w:rsid w:val="001C7A41"/>
    <w:rsid w:val="001D3080"/>
    <w:rsid w:val="001D3B7E"/>
    <w:rsid w:val="001D3BF8"/>
    <w:rsid w:val="001E2993"/>
    <w:rsid w:val="001E4F32"/>
    <w:rsid w:val="001F2848"/>
    <w:rsid w:val="001F2B77"/>
    <w:rsid w:val="00202508"/>
    <w:rsid w:val="00217C0F"/>
    <w:rsid w:val="00221927"/>
    <w:rsid w:val="00223B03"/>
    <w:rsid w:val="002259B2"/>
    <w:rsid w:val="00225AEE"/>
    <w:rsid w:val="0022711C"/>
    <w:rsid w:val="00233AFE"/>
    <w:rsid w:val="002435D0"/>
    <w:rsid w:val="00243F8F"/>
    <w:rsid w:val="00250A90"/>
    <w:rsid w:val="00252999"/>
    <w:rsid w:val="0025308A"/>
    <w:rsid w:val="002551FA"/>
    <w:rsid w:val="00255554"/>
    <w:rsid w:val="0025601D"/>
    <w:rsid w:val="00257FF1"/>
    <w:rsid w:val="00262267"/>
    <w:rsid w:val="00262E5F"/>
    <w:rsid w:val="00263F00"/>
    <w:rsid w:val="00264A68"/>
    <w:rsid w:val="0028066C"/>
    <w:rsid w:val="00281064"/>
    <w:rsid w:val="00281C26"/>
    <w:rsid w:val="002833CF"/>
    <w:rsid w:val="00286CB3"/>
    <w:rsid w:val="0029022C"/>
    <w:rsid w:val="00293E38"/>
    <w:rsid w:val="002942B8"/>
    <w:rsid w:val="002A0576"/>
    <w:rsid w:val="002A07E2"/>
    <w:rsid w:val="002B26F0"/>
    <w:rsid w:val="002B552B"/>
    <w:rsid w:val="002C6836"/>
    <w:rsid w:val="002C7F2B"/>
    <w:rsid w:val="002D2F75"/>
    <w:rsid w:val="002E0FB6"/>
    <w:rsid w:val="002E1597"/>
    <w:rsid w:val="002E2816"/>
    <w:rsid w:val="002E41DF"/>
    <w:rsid w:val="002E6AC4"/>
    <w:rsid w:val="002E6DFA"/>
    <w:rsid w:val="002F1086"/>
    <w:rsid w:val="002F5829"/>
    <w:rsid w:val="002F5EEF"/>
    <w:rsid w:val="00301076"/>
    <w:rsid w:val="00316DF2"/>
    <w:rsid w:val="003231A8"/>
    <w:rsid w:val="00324C21"/>
    <w:rsid w:val="00331597"/>
    <w:rsid w:val="00342497"/>
    <w:rsid w:val="00344FF3"/>
    <w:rsid w:val="00353E41"/>
    <w:rsid w:val="00370BF4"/>
    <w:rsid w:val="0037169E"/>
    <w:rsid w:val="003716A5"/>
    <w:rsid w:val="00376B12"/>
    <w:rsid w:val="00383C9F"/>
    <w:rsid w:val="0038635F"/>
    <w:rsid w:val="003902F6"/>
    <w:rsid w:val="003A37BE"/>
    <w:rsid w:val="003A4636"/>
    <w:rsid w:val="003B2F40"/>
    <w:rsid w:val="003C3995"/>
    <w:rsid w:val="003D0992"/>
    <w:rsid w:val="003D1F45"/>
    <w:rsid w:val="003D229C"/>
    <w:rsid w:val="003E191C"/>
    <w:rsid w:val="003E316B"/>
    <w:rsid w:val="003E5E95"/>
    <w:rsid w:val="003E699F"/>
    <w:rsid w:val="003F2CFF"/>
    <w:rsid w:val="003F5BC7"/>
    <w:rsid w:val="003F7CE2"/>
    <w:rsid w:val="0040154D"/>
    <w:rsid w:val="0040799A"/>
    <w:rsid w:val="00410D92"/>
    <w:rsid w:val="00411C41"/>
    <w:rsid w:val="004157DD"/>
    <w:rsid w:val="00415899"/>
    <w:rsid w:val="00415D11"/>
    <w:rsid w:val="00422860"/>
    <w:rsid w:val="00425B08"/>
    <w:rsid w:val="00431B48"/>
    <w:rsid w:val="00432DE8"/>
    <w:rsid w:val="00442474"/>
    <w:rsid w:val="0044361E"/>
    <w:rsid w:val="0045181E"/>
    <w:rsid w:val="00452670"/>
    <w:rsid w:val="00454511"/>
    <w:rsid w:val="0045590E"/>
    <w:rsid w:val="00465257"/>
    <w:rsid w:val="00475385"/>
    <w:rsid w:val="0047562B"/>
    <w:rsid w:val="00475E0F"/>
    <w:rsid w:val="00481CD4"/>
    <w:rsid w:val="0048396B"/>
    <w:rsid w:val="00485174"/>
    <w:rsid w:val="00487CDA"/>
    <w:rsid w:val="004978F0"/>
    <w:rsid w:val="004A0052"/>
    <w:rsid w:val="004A02B1"/>
    <w:rsid w:val="004A263F"/>
    <w:rsid w:val="004B1497"/>
    <w:rsid w:val="004B4538"/>
    <w:rsid w:val="004B6CA6"/>
    <w:rsid w:val="004B709B"/>
    <w:rsid w:val="004B7FE0"/>
    <w:rsid w:val="004C1FC5"/>
    <w:rsid w:val="004C2A6E"/>
    <w:rsid w:val="004D009E"/>
    <w:rsid w:val="004D0D5D"/>
    <w:rsid w:val="004D6700"/>
    <w:rsid w:val="004E257E"/>
    <w:rsid w:val="005016D9"/>
    <w:rsid w:val="00502629"/>
    <w:rsid w:val="00511323"/>
    <w:rsid w:val="00513CBD"/>
    <w:rsid w:val="00525E4A"/>
    <w:rsid w:val="00537C42"/>
    <w:rsid w:val="00541231"/>
    <w:rsid w:val="00545C00"/>
    <w:rsid w:val="00546C36"/>
    <w:rsid w:val="00550BEB"/>
    <w:rsid w:val="0055311C"/>
    <w:rsid w:val="00562B13"/>
    <w:rsid w:val="00562EFE"/>
    <w:rsid w:val="005645D3"/>
    <w:rsid w:val="00566CBB"/>
    <w:rsid w:val="00575BED"/>
    <w:rsid w:val="00577CDB"/>
    <w:rsid w:val="00587496"/>
    <w:rsid w:val="005A18A4"/>
    <w:rsid w:val="005A3BEE"/>
    <w:rsid w:val="005A6846"/>
    <w:rsid w:val="005B1105"/>
    <w:rsid w:val="005B1829"/>
    <w:rsid w:val="005B5D00"/>
    <w:rsid w:val="005C3185"/>
    <w:rsid w:val="005C4345"/>
    <w:rsid w:val="005D2F52"/>
    <w:rsid w:val="005E117E"/>
    <w:rsid w:val="005E12B4"/>
    <w:rsid w:val="005E7B12"/>
    <w:rsid w:val="005F17F3"/>
    <w:rsid w:val="005F363C"/>
    <w:rsid w:val="005F51F8"/>
    <w:rsid w:val="005F5262"/>
    <w:rsid w:val="005F65A7"/>
    <w:rsid w:val="00600DF2"/>
    <w:rsid w:val="00601283"/>
    <w:rsid w:val="006016E0"/>
    <w:rsid w:val="00601F42"/>
    <w:rsid w:val="006021ED"/>
    <w:rsid w:val="0060469C"/>
    <w:rsid w:val="00606AF8"/>
    <w:rsid w:val="00612C1F"/>
    <w:rsid w:val="0061386E"/>
    <w:rsid w:val="00616EC6"/>
    <w:rsid w:val="00624833"/>
    <w:rsid w:val="0062622B"/>
    <w:rsid w:val="006275D7"/>
    <w:rsid w:val="00631483"/>
    <w:rsid w:val="006341BD"/>
    <w:rsid w:val="00636C1F"/>
    <w:rsid w:val="006456C7"/>
    <w:rsid w:val="00653FC4"/>
    <w:rsid w:val="006558D7"/>
    <w:rsid w:val="00655CB3"/>
    <w:rsid w:val="00661A58"/>
    <w:rsid w:val="006661A4"/>
    <w:rsid w:val="0066764A"/>
    <w:rsid w:val="006732AF"/>
    <w:rsid w:val="00675735"/>
    <w:rsid w:val="00675E52"/>
    <w:rsid w:val="006800A2"/>
    <w:rsid w:val="00680CC4"/>
    <w:rsid w:val="00680EEC"/>
    <w:rsid w:val="0068367F"/>
    <w:rsid w:val="00687999"/>
    <w:rsid w:val="00692295"/>
    <w:rsid w:val="00696EEA"/>
    <w:rsid w:val="006A0B45"/>
    <w:rsid w:val="006A3DC1"/>
    <w:rsid w:val="006A5644"/>
    <w:rsid w:val="006A71EB"/>
    <w:rsid w:val="006B1991"/>
    <w:rsid w:val="006B3BCB"/>
    <w:rsid w:val="006B446F"/>
    <w:rsid w:val="006C2CB1"/>
    <w:rsid w:val="006C32BC"/>
    <w:rsid w:val="006C4663"/>
    <w:rsid w:val="006D7125"/>
    <w:rsid w:val="006E016E"/>
    <w:rsid w:val="006E2F2B"/>
    <w:rsid w:val="006F1439"/>
    <w:rsid w:val="006F1A60"/>
    <w:rsid w:val="006F7B0F"/>
    <w:rsid w:val="00701E8B"/>
    <w:rsid w:val="0070237A"/>
    <w:rsid w:val="007070E3"/>
    <w:rsid w:val="007101F0"/>
    <w:rsid w:val="007203A8"/>
    <w:rsid w:val="00727EA4"/>
    <w:rsid w:val="00736BA5"/>
    <w:rsid w:val="00736DED"/>
    <w:rsid w:val="007440E6"/>
    <w:rsid w:val="007445DB"/>
    <w:rsid w:val="00751BD7"/>
    <w:rsid w:val="00754077"/>
    <w:rsid w:val="00757139"/>
    <w:rsid w:val="007604C1"/>
    <w:rsid w:val="007613AA"/>
    <w:rsid w:val="007615A8"/>
    <w:rsid w:val="00761E7F"/>
    <w:rsid w:val="007629D1"/>
    <w:rsid w:val="00763937"/>
    <w:rsid w:val="007641FC"/>
    <w:rsid w:val="00765791"/>
    <w:rsid w:val="00770A1E"/>
    <w:rsid w:val="00771D5C"/>
    <w:rsid w:val="00774817"/>
    <w:rsid w:val="0077586D"/>
    <w:rsid w:val="00781E90"/>
    <w:rsid w:val="007843B7"/>
    <w:rsid w:val="007977A7"/>
    <w:rsid w:val="007A1958"/>
    <w:rsid w:val="007A1D16"/>
    <w:rsid w:val="007A2E91"/>
    <w:rsid w:val="007A4D8F"/>
    <w:rsid w:val="007B08DC"/>
    <w:rsid w:val="007D06F0"/>
    <w:rsid w:val="007D5328"/>
    <w:rsid w:val="007E0FF7"/>
    <w:rsid w:val="007E7604"/>
    <w:rsid w:val="007F13DC"/>
    <w:rsid w:val="007F396F"/>
    <w:rsid w:val="007F3ED7"/>
    <w:rsid w:val="007F4475"/>
    <w:rsid w:val="0080008F"/>
    <w:rsid w:val="00813DCB"/>
    <w:rsid w:val="00823323"/>
    <w:rsid w:val="00836907"/>
    <w:rsid w:val="00837E7E"/>
    <w:rsid w:val="00846835"/>
    <w:rsid w:val="00850495"/>
    <w:rsid w:val="00860FA0"/>
    <w:rsid w:val="00872165"/>
    <w:rsid w:val="00872BD9"/>
    <w:rsid w:val="00872CE0"/>
    <w:rsid w:val="008805E7"/>
    <w:rsid w:val="008823C5"/>
    <w:rsid w:val="008847BE"/>
    <w:rsid w:val="00885CBF"/>
    <w:rsid w:val="00887F07"/>
    <w:rsid w:val="00887F44"/>
    <w:rsid w:val="008A0CEB"/>
    <w:rsid w:val="008A6283"/>
    <w:rsid w:val="008A6DB1"/>
    <w:rsid w:val="008C0317"/>
    <w:rsid w:val="008C4238"/>
    <w:rsid w:val="008C54D0"/>
    <w:rsid w:val="008C5917"/>
    <w:rsid w:val="008D2FB6"/>
    <w:rsid w:val="008D5912"/>
    <w:rsid w:val="008D5D99"/>
    <w:rsid w:val="008E19F1"/>
    <w:rsid w:val="008E4A4A"/>
    <w:rsid w:val="008E6C42"/>
    <w:rsid w:val="008F0CB3"/>
    <w:rsid w:val="008F5FE3"/>
    <w:rsid w:val="008F6B0B"/>
    <w:rsid w:val="008F7FC7"/>
    <w:rsid w:val="00906CF9"/>
    <w:rsid w:val="00907D95"/>
    <w:rsid w:val="009111F7"/>
    <w:rsid w:val="00923C4C"/>
    <w:rsid w:val="0092759C"/>
    <w:rsid w:val="00932299"/>
    <w:rsid w:val="009431CE"/>
    <w:rsid w:val="0094671D"/>
    <w:rsid w:val="00952A37"/>
    <w:rsid w:val="0095360A"/>
    <w:rsid w:val="00964785"/>
    <w:rsid w:val="00965047"/>
    <w:rsid w:val="00965D3C"/>
    <w:rsid w:val="00965F18"/>
    <w:rsid w:val="00966217"/>
    <w:rsid w:val="009704E8"/>
    <w:rsid w:val="00971130"/>
    <w:rsid w:val="00977EA2"/>
    <w:rsid w:val="009815D1"/>
    <w:rsid w:val="009847F2"/>
    <w:rsid w:val="00987348"/>
    <w:rsid w:val="009931BD"/>
    <w:rsid w:val="00993E75"/>
    <w:rsid w:val="009961AF"/>
    <w:rsid w:val="0099772A"/>
    <w:rsid w:val="00997ED7"/>
    <w:rsid w:val="009A2F0C"/>
    <w:rsid w:val="009A559F"/>
    <w:rsid w:val="009A7C4B"/>
    <w:rsid w:val="009B7144"/>
    <w:rsid w:val="009C2DEA"/>
    <w:rsid w:val="009C33FD"/>
    <w:rsid w:val="009C6566"/>
    <w:rsid w:val="009D3468"/>
    <w:rsid w:val="009D3B7C"/>
    <w:rsid w:val="009D52DD"/>
    <w:rsid w:val="009E6755"/>
    <w:rsid w:val="009E7274"/>
    <w:rsid w:val="009F3F85"/>
    <w:rsid w:val="009F56FA"/>
    <w:rsid w:val="00A05776"/>
    <w:rsid w:val="00A057F4"/>
    <w:rsid w:val="00A216BD"/>
    <w:rsid w:val="00A33DAC"/>
    <w:rsid w:val="00A348D5"/>
    <w:rsid w:val="00A35A0C"/>
    <w:rsid w:val="00A36EAF"/>
    <w:rsid w:val="00A43B02"/>
    <w:rsid w:val="00A43BFA"/>
    <w:rsid w:val="00A52466"/>
    <w:rsid w:val="00A5465E"/>
    <w:rsid w:val="00A70CFF"/>
    <w:rsid w:val="00A72DCF"/>
    <w:rsid w:val="00A819CD"/>
    <w:rsid w:val="00A845C5"/>
    <w:rsid w:val="00A84CC4"/>
    <w:rsid w:val="00A85534"/>
    <w:rsid w:val="00A85AFE"/>
    <w:rsid w:val="00A87965"/>
    <w:rsid w:val="00A918E0"/>
    <w:rsid w:val="00A96FAC"/>
    <w:rsid w:val="00AA178F"/>
    <w:rsid w:val="00AA29D5"/>
    <w:rsid w:val="00AA330A"/>
    <w:rsid w:val="00AA3559"/>
    <w:rsid w:val="00AA3A39"/>
    <w:rsid w:val="00AA3DB5"/>
    <w:rsid w:val="00AA3EA9"/>
    <w:rsid w:val="00AA5FAE"/>
    <w:rsid w:val="00AB0373"/>
    <w:rsid w:val="00AB4654"/>
    <w:rsid w:val="00AB65A4"/>
    <w:rsid w:val="00AC0D4B"/>
    <w:rsid w:val="00AC34CB"/>
    <w:rsid w:val="00AC7E13"/>
    <w:rsid w:val="00AE6D6B"/>
    <w:rsid w:val="00B02FC6"/>
    <w:rsid w:val="00B03427"/>
    <w:rsid w:val="00B07506"/>
    <w:rsid w:val="00B10447"/>
    <w:rsid w:val="00B20DE3"/>
    <w:rsid w:val="00B26989"/>
    <w:rsid w:val="00B328F6"/>
    <w:rsid w:val="00B332F8"/>
    <w:rsid w:val="00B3483C"/>
    <w:rsid w:val="00B40E48"/>
    <w:rsid w:val="00B4612D"/>
    <w:rsid w:val="00B46AE5"/>
    <w:rsid w:val="00B47211"/>
    <w:rsid w:val="00B477F3"/>
    <w:rsid w:val="00B479A2"/>
    <w:rsid w:val="00B54100"/>
    <w:rsid w:val="00B54C95"/>
    <w:rsid w:val="00B56484"/>
    <w:rsid w:val="00B61D5E"/>
    <w:rsid w:val="00B66F07"/>
    <w:rsid w:val="00B71473"/>
    <w:rsid w:val="00B744BA"/>
    <w:rsid w:val="00B74E30"/>
    <w:rsid w:val="00B82429"/>
    <w:rsid w:val="00B82C14"/>
    <w:rsid w:val="00B83E7A"/>
    <w:rsid w:val="00B86533"/>
    <w:rsid w:val="00B912AB"/>
    <w:rsid w:val="00B9347F"/>
    <w:rsid w:val="00B94DDB"/>
    <w:rsid w:val="00B964E1"/>
    <w:rsid w:val="00B977C0"/>
    <w:rsid w:val="00BA0493"/>
    <w:rsid w:val="00BA33A9"/>
    <w:rsid w:val="00BA378D"/>
    <w:rsid w:val="00BA4C26"/>
    <w:rsid w:val="00BB7049"/>
    <w:rsid w:val="00BB70B3"/>
    <w:rsid w:val="00BC1F99"/>
    <w:rsid w:val="00BC4871"/>
    <w:rsid w:val="00BC4D5D"/>
    <w:rsid w:val="00BC7CD5"/>
    <w:rsid w:val="00BD0538"/>
    <w:rsid w:val="00BD2931"/>
    <w:rsid w:val="00BD3668"/>
    <w:rsid w:val="00BD6D76"/>
    <w:rsid w:val="00BE200A"/>
    <w:rsid w:val="00BE6B62"/>
    <w:rsid w:val="00BF2AE3"/>
    <w:rsid w:val="00BF370F"/>
    <w:rsid w:val="00BF4212"/>
    <w:rsid w:val="00BF680C"/>
    <w:rsid w:val="00C11DF3"/>
    <w:rsid w:val="00C22FB5"/>
    <w:rsid w:val="00C23C59"/>
    <w:rsid w:val="00C32F0A"/>
    <w:rsid w:val="00C35F43"/>
    <w:rsid w:val="00C423BA"/>
    <w:rsid w:val="00C44FAD"/>
    <w:rsid w:val="00C45ACD"/>
    <w:rsid w:val="00C45C68"/>
    <w:rsid w:val="00C47E15"/>
    <w:rsid w:val="00C5294B"/>
    <w:rsid w:val="00C558E6"/>
    <w:rsid w:val="00C62A1C"/>
    <w:rsid w:val="00C71166"/>
    <w:rsid w:val="00C71788"/>
    <w:rsid w:val="00C74BE1"/>
    <w:rsid w:val="00C758DE"/>
    <w:rsid w:val="00C778A3"/>
    <w:rsid w:val="00C7796A"/>
    <w:rsid w:val="00C815BF"/>
    <w:rsid w:val="00C86EA5"/>
    <w:rsid w:val="00C90D26"/>
    <w:rsid w:val="00C92310"/>
    <w:rsid w:val="00C940DC"/>
    <w:rsid w:val="00C95622"/>
    <w:rsid w:val="00C97C76"/>
    <w:rsid w:val="00CA35F2"/>
    <w:rsid w:val="00CA4768"/>
    <w:rsid w:val="00CB1B17"/>
    <w:rsid w:val="00CB1D82"/>
    <w:rsid w:val="00CC658E"/>
    <w:rsid w:val="00CD07B0"/>
    <w:rsid w:val="00CD5F03"/>
    <w:rsid w:val="00CE69EB"/>
    <w:rsid w:val="00CE6A29"/>
    <w:rsid w:val="00CF7D09"/>
    <w:rsid w:val="00D00074"/>
    <w:rsid w:val="00D004DE"/>
    <w:rsid w:val="00D175E6"/>
    <w:rsid w:val="00D22402"/>
    <w:rsid w:val="00D22AD4"/>
    <w:rsid w:val="00D2387A"/>
    <w:rsid w:val="00D32E09"/>
    <w:rsid w:val="00D33903"/>
    <w:rsid w:val="00D40397"/>
    <w:rsid w:val="00D40ED4"/>
    <w:rsid w:val="00D453CC"/>
    <w:rsid w:val="00D5598F"/>
    <w:rsid w:val="00D56691"/>
    <w:rsid w:val="00D629C4"/>
    <w:rsid w:val="00D70362"/>
    <w:rsid w:val="00D72A76"/>
    <w:rsid w:val="00D74754"/>
    <w:rsid w:val="00D76DFF"/>
    <w:rsid w:val="00D771DD"/>
    <w:rsid w:val="00D93E8A"/>
    <w:rsid w:val="00D94E5F"/>
    <w:rsid w:val="00D95EF5"/>
    <w:rsid w:val="00D96D4D"/>
    <w:rsid w:val="00DA46EA"/>
    <w:rsid w:val="00DA473D"/>
    <w:rsid w:val="00DA5311"/>
    <w:rsid w:val="00DA5782"/>
    <w:rsid w:val="00DB1DD6"/>
    <w:rsid w:val="00DB361F"/>
    <w:rsid w:val="00DB4665"/>
    <w:rsid w:val="00DB54D4"/>
    <w:rsid w:val="00DB7DF8"/>
    <w:rsid w:val="00DC1093"/>
    <w:rsid w:val="00DC16CA"/>
    <w:rsid w:val="00DC663A"/>
    <w:rsid w:val="00DD0496"/>
    <w:rsid w:val="00DD16EF"/>
    <w:rsid w:val="00DD7FAD"/>
    <w:rsid w:val="00DE4E0A"/>
    <w:rsid w:val="00DE63D8"/>
    <w:rsid w:val="00DF12C8"/>
    <w:rsid w:val="00DF23D0"/>
    <w:rsid w:val="00DF3C31"/>
    <w:rsid w:val="00DF461B"/>
    <w:rsid w:val="00DF4C81"/>
    <w:rsid w:val="00E0374D"/>
    <w:rsid w:val="00E03A0F"/>
    <w:rsid w:val="00E05D84"/>
    <w:rsid w:val="00E15AE5"/>
    <w:rsid w:val="00E2587A"/>
    <w:rsid w:val="00E30B66"/>
    <w:rsid w:val="00E44CFF"/>
    <w:rsid w:val="00E5029B"/>
    <w:rsid w:val="00E60B6E"/>
    <w:rsid w:val="00E6553B"/>
    <w:rsid w:val="00E75C0B"/>
    <w:rsid w:val="00E8445E"/>
    <w:rsid w:val="00E86CBF"/>
    <w:rsid w:val="00E93790"/>
    <w:rsid w:val="00EA09A7"/>
    <w:rsid w:val="00EA229F"/>
    <w:rsid w:val="00EA5253"/>
    <w:rsid w:val="00EA6434"/>
    <w:rsid w:val="00EC4AFA"/>
    <w:rsid w:val="00EC53CC"/>
    <w:rsid w:val="00EC74B3"/>
    <w:rsid w:val="00ED146F"/>
    <w:rsid w:val="00ED3A34"/>
    <w:rsid w:val="00ED51FD"/>
    <w:rsid w:val="00EE129C"/>
    <w:rsid w:val="00EE4B26"/>
    <w:rsid w:val="00EE50D3"/>
    <w:rsid w:val="00EE6FB0"/>
    <w:rsid w:val="00EE719A"/>
    <w:rsid w:val="00EF7D65"/>
    <w:rsid w:val="00F028F2"/>
    <w:rsid w:val="00F06FCC"/>
    <w:rsid w:val="00F10392"/>
    <w:rsid w:val="00F11682"/>
    <w:rsid w:val="00F27B7B"/>
    <w:rsid w:val="00F31352"/>
    <w:rsid w:val="00F405B9"/>
    <w:rsid w:val="00F5045C"/>
    <w:rsid w:val="00F509FB"/>
    <w:rsid w:val="00F753A8"/>
    <w:rsid w:val="00F7735B"/>
    <w:rsid w:val="00F822DB"/>
    <w:rsid w:val="00F830A4"/>
    <w:rsid w:val="00F91170"/>
    <w:rsid w:val="00FA422E"/>
    <w:rsid w:val="00FA65AC"/>
    <w:rsid w:val="00FA72B1"/>
    <w:rsid w:val="00FB26B3"/>
    <w:rsid w:val="00FB7965"/>
    <w:rsid w:val="00FC059C"/>
    <w:rsid w:val="00FC10F7"/>
    <w:rsid w:val="00FC6A7B"/>
    <w:rsid w:val="00FD5C43"/>
    <w:rsid w:val="00FD6624"/>
    <w:rsid w:val="00FE5C85"/>
    <w:rsid w:val="00FF2D68"/>
    <w:rsid w:val="00FF7EB1"/>
    <w:rsid w:val="010F68D7"/>
    <w:rsid w:val="01560C32"/>
    <w:rsid w:val="02387C70"/>
    <w:rsid w:val="02AB49FC"/>
    <w:rsid w:val="02D4669D"/>
    <w:rsid w:val="02EA0CCF"/>
    <w:rsid w:val="03064E13"/>
    <w:rsid w:val="03C05022"/>
    <w:rsid w:val="03C142B6"/>
    <w:rsid w:val="03D56DED"/>
    <w:rsid w:val="03F903E2"/>
    <w:rsid w:val="03FE737B"/>
    <w:rsid w:val="04335B11"/>
    <w:rsid w:val="04AC6C6F"/>
    <w:rsid w:val="04B30074"/>
    <w:rsid w:val="04B30699"/>
    <w:rsid w:val="04D57B0E"/>
    <w:rsid w:val="05AF098B"/>
    <w:rsid w:val="062151B0"/>
    <w:rsid w:val="06273BD8"/>
    <w:rsid w:val="064C36CC"/>
    <w:rsid w:val="06C80159"/>
    <w:rsid w:val="06E32170"/>
    <w:rsid w:val="06E615DF"/>
    <w:rsid w:val="07830345"/>
    <w:rsid w:val="07A96329"/>
    <w:rsid w:val="07FD0414"/>
    <w:rsid w:val="094E1D41"/>
    <w:rsid w:val="09EC62C8"/>
    <w:rsid w:val="09FB0C6A"/>
    <w:rsid w:val="0A355DAA"/>
    <w:rsid w:val="0AF11B33"/>
    <w:rsid w:val="0B112D7F"/>
    <w:rsid w:val="0B485072"/>
    <w:rsid w:val="0BBA472E"/>
    <w:rsid w:val="0BDC1094"/>
    <w:rsid w:val="0BE46277"/>
    <w:rsid w:val="0BFF276A"/>
    <w:rsid w:val="0C276A88"/>
    <w:rsid w:val="0CD133FB"/>
    <w:rsid w:val="0CDB6909"/>
    <w:rsid w:val="0CFD4CE0"/>
    <w:rsid w:val="0D5B79AB"/>
    <w:rsid w:val="0D6042A8"/>
    <w:rsid w:val="0D6A0A3E"/>
    <w:rsid w:val="0D916DAC"/>
    <w:rsid w:val="0D996961"/>
    <w:rsid w:val="0DC40D43"/>
    <w:rsid w:val="0DE412C2"/>
    <w:rsid w:val="0E883B0D"/>
    <w:rsid w:val="0EB45626"/>
    <w:rsid w:val="0ED551C9"/>
    <w:rsid w:val="0F82532B"/>
    <w:rsid w:val="0FAD20F8"/>
    <w:rsid w:val="0FB06B1C"/>
    <w:rsid w:val="0FBA34B2"/>
    <w:rsid w:val="10514AD4"/>
    <w:rsid w:val="107E423D"/>
    <w:rsid w:val="10834F03"/>
    <w:rsid w:val="10C017E8"/>
    <w:rsid w:val="1106497C"/>
    <w:rsid w:val="11677AD0"/>
    <w:rsid w:val="11FC3F6D"/>
    <w:rsid w:val="12705623"/>
    <w:rsid w:val="12857919"/>
    <w:rsid w:val="12AC3EC0"/>
    <w:rsid w:val="13266600"/>
    <w:rsid w:val="133E07A2"/>
    <w:rsid w:val="13717356"/>
    <w:rsid w:val="13B00D53"/>
    <w:rsid w:val="13D11C6B"/>
    <w:rsid w:val="14625E07"/>
    <w:rsid w:val="14B422D0"/>
    <w:rsid w:val="14DF238B"/>
    <w:rsid w:val="15242D57"/>
    <w:rsid w:val="155A12F6"/>
    <w:rsid w:val="158552FE"/>
    <w:rsid w:val="15F94BBF"/>
    <w:rsid w:val="160E1F5F"/>
    <w:rsid w:val="16207779"/>
    <w:rsid w:val="167161B8"/>
    <w:rsid w:val="16B0476C"/>
    <w:rsid w:val="16F03007"/>
    <w:rsid w:val="17640299"/>
    <w:rsid w:val="17666218"/>
    <w:rsid w:val="176A0BCF"/>
    <w:rsid w:val="176C2B6F"/>
    <w:rsid w:val="17CC73E5"/>
    <w:rsid w:val="17F4064B"/>
    <w:rsid w:val="17F90C2E"/>
    <w:rsid w:val="17F96DCE"/>
    <w:rsid w:val="18267F6A"/>
    <w:rsid w:val="184B16A0"/>
    <w:rsid w:val="18854CCB"/>
    <w:rsid w:val="18FA03E9"/>
    <w:rsid w:val="196D5BAD"/>
    <w:rsid w:val="19DE407C"/>
    <w:rsid w:val="19E10B11"/>
    <w:rsid w:val="1AA87163"/>
    <w:rsid w:val="1B543A37"/>
    <w:rsid w:val="1B737A33"/>
    <w:rsid w:val="1BBF61A2"/>
    <w:rsid w:val="1C4D36F6"/>
    <w:rsid w:val="1C7C0A01"/>
    <w:rsid w:val="1D1B56DC"/>
    <w:rsid w:val="1D2D1128"/>
    <w:rsid w:val="1D352F70"/>
    <w:rsid w:val="1D3F1798"/>
    <w:rsid w:val="1D84058D"/>
    <w:rsid w:val="1D8912F2"/>
    <w:rsid w:val="1DA9642A"/>
    <w:rsid w:val="1DD83ED9"/>
    <w:rsid w:val="1E3950B8"/>
    <w:rsid w:val="1E477435"/>
    <w:rsid w:val="1EA7212E"/>
    <w:rsid w:val="1EEC7DE6"/>
    <w:rsid w:val="20081376"/>
    <w:rsid w:val="200E05B6"/>
    <w:rsid w:val="203E2358"/>
    <w:rsid w:val="20465DAC"/>
    <w:rsid w:val="20766C95"/>
    <w:rsid w:val="20886F00"/>
    <w:rsid w:val="20F95428"/>
    <w:rsid w:val="21540318"/>
    <w:rsid w:val="215D3B97"/>
    <w:rsid w:val="21986830"/>
    <w:rsid w:val="219E0B79"/>
    <w:rsid w:val="21D25D29"/>
    <w:rsid w:val="21D579F1"/>
    <w:rsid w:val="223226D4"/>
    <w:rsid w:val="2245368C"/>
    <w:rsid w:val="225443E0"/>
    <w:rsid w:val="226752B1"/>
    <w:rsid w:val="227C0C90"/>
    <w:rsid w:val="22DE476E"/>
    <w:rsid w:val="23086BCD"/>
    <w:rsid w:val="232A008F"/>
    <w:rsid w:val="235E4BF1"/>
    <w:rsid w:val="236844C5"/>
    <w:rsid w:val="23860B4B"/>
    <w:rsid w:val="238E7C0B"/>
    <w:rsid w:val="243A284F"/>
    <w:rsid w:val="249767A2"/>
    <w:rsid w:val="24F85849"/>
    <w:rsid w:val="24FF1A7E"/>
    <w:rsid w:val="25134074"/>
    <w:rsid w:val="25F10DE1"/>
    <w:rsid w:val="2623332C"/>
    <w:rsid w:val="26DE7A3E"/>
    <w:rsid w:val="26F357FF"/>
    <w:rsid w:val="27282922"/>
    <w:rsid w:val="273D24AD"/>
    <w:rsid w:val="2758715E"/>
    <w:rsid w:val="27870A20"/>
    <w:rsid w:val="2822556C"/>
    <w:rsid w:val="285279A3"/>
    <w:rsid w:val="285506D5"/>
    <w:rsid w:val="288B7FD6"/>
    <w:rsid w:val="28A245CE"/>
    <w:rsid w:val="28DB663B"/>
    <w:rsid w:val="291757B5"/>
    <w:rsid w:val="29693DB0"/>
    <w:rsid w:val="2978466A"/>
    <w:rsid w:val="29F441C1"/>
    <w:rsid w:val="2A172AE9"/>
    <w:rsid w:val="2A9F6325"/>
    <w:rsid w:val="2AB44674"/>
    <w:rsid w:val="2AD6138A"/>
    <w:rsid w:val="2B004F78"/>
    <w:rsid w:val="2B157BDA"/>
    <w:rsid w:val="2B774BFB"/>
    <w:rsid w:val="2BE769BB"/>
    <w:rsid w:val="2C7407AC"/>
    <w:rsid w:val="2D044F4B"/>
    <w:rsid w:val="2D24524B"/>
    <w:rsid w:val="2D354F0C"/>
    <w:rsid w:val="2D4B5321"/>
    <w:rsid w:val="2D683FA3"/>
    <w:rsid w:val="2D7226CB"/>
    <w:rsid w:val="2DAB0FA6"/>
    <w:rsid w:val="2DFD3658"/>
    <w:rsid w:val="2E3E19FB"/>
    <w:rsid w:val="2E865758"/>
    <w:rsid w:val="2F2F6488"/>
    <w:rsid w:val="2F556F69"/>
    <w:rsid w:val="2F5612F1"/>
    <w:rsid w:val="2FBA743A"/>
    <w:rsid w:val="305B4A49"/>
    <w:rsid w:val="30734ECB"/>
    <w:rsid w:val="310C404B"/>
    <w:rsid w:val="315A4266"/>
    <w:rsid w:val="316D6811"/>
    <w:rsid w:val="319866B7"/>
    <w:rsid w:val="31AD4D31"/>
    <w:rsid w:val="31C34022"/>
    <w:rsid w:val="324246E3"/>
    <w:rsid w:val="32590E63"/>
    <w:rsid w:val="32F81A96"/>
    <w:rsid w:val="33B51FDA"/>
    <w:rsid w:val="33B97CEA"/>
    <w:rsid w:val="342F41AF"/>
    <w:rsid w:val="346D0DDA"/>
    <w:rsid w:val="34E110F2"/>
    <w:rsid w:val="350152B5"/>
    <w:rsid w:val="35B3714C"/>
    <w:rsid w:val="35F9083E"/>
    <w:rsid w:val="362B4B1C"/>
    <w:rsid w:val="36970032"/>
    <w:rsid w:val="36E829F8"/>
    <w:rsid w:val="374448D2"/>
    <w:rsid w:val="37533025"/>
    <w:rsid w:val="37770356"/>
    <w:rsid w:val="378E3356"/>
    <w:rsid w:val="37BC5527"/>
    <w:rsid w:val="37E561F2"/>
    <w:rsid w:val="386B4484"/>
    <w:rsid w:val="387B156C"/>
    <w:rsid w:val="38815040"/>
    <w:rsid w:val="38B77DBA"/>
    <w:rsid w:val="392B0E69"/>
    <w:rsid w:val="39B606BC"/>
    <w:rsid w:val="39D57F0E"/>
    <w:rsid w:val="3AA45370"/>
    <w:rsid w:val="3ACC5B3D"/>
    <w:rsid w:val="3AE10C1F"/>
    <w:rsid w:val="3B1E2D4B"/>
    <w:rsid w:val="3B470119"/>
    <w:rsid w:val="3B702855"/>
    <w:rsid w:val="3B7B0319"/>
    <w:rsid w:val="3B7E5A04"/>
    <w:rsid w:val="3BEE7EAD"/>
    <w:rsid w:val="3BF85EF9"/>
    <w:rsid w:val="3C7F4B0D"/>
    <w:rsid w:val="3CAB7F17"/>
    <w:rsid w:val="3CE1290D"/>
    <w:rsid w:val="3D2B252D"/>
    <w:rsid w:val="3DC97E82"/>
    <w:rsid w:val="3DEF3D9F"/>
    <w:rsid w:val="3EC014A3"/>
    <w:rsid w:val="3F0B3DF6"/>
    <w:rsid w:val="3F1D1DB4"/>
    <w:rsid w:val="3FAD4DA9"/>
    <w:rsid w:val="3FC45A93"/>
    <w:rsid w:val="3FC94034"/>
    <w:rsid w:val="3FD14B13"/>
    <w:rsid w:val="3FD7050E"/>
    <w:rsid w:val="401F1429"/>
    <w:rsid w:val="40447A15"/>
    <w:rsid w:val="40981D46"/>
    <w:rsid w:val="40C4524F"/>
    <w:rsid w:val="41064D0E"/>
    <w:rsid w:val="410C017D"/>
    <w:rsid w:val="425A31D4"/>
    <w:rsid w:val="42D1480B"/>
    <w:rsid w:val="42F0434A"/>
    <w:rsid w:val="43000453"/>
    <w:rsid w:val="43396B36"/>
    <w:rsid w:val="433D6DBA"/>
    <w:rsid w:val="434D3CA7"/>
    <w:rsid w:val="437F3F8B"/>
    <w:rsid w:val="43E87EA3"/>
    <w:rsid w:val="43F46968"/>
    <w:rsid w:val="4427580A"/>
    <w:rsid w:val="44321F71"/>
    <w:rsid w:val="4447627F"/>
    <w:rsid w:val="44797679"/>
    <w:rsid w:val="44B8628D"/>
    <w:rsid w:val="44D45DED"/>
    <w:rsid w:val="44D836CC"/>
    <w:rsid w:val="45442489"/>
    <w:rsid w:val="454F7F8B"/>
    <w:rsid w:val="45CD69A5"/>
    <w:rsid w:val="45DC66E4"/>
    <w:rsid w:val="460E4795"/>
    <w:rsid w:val="4624120A"/>
    <w:rsid w:val="468A3901"/>
    <w:rsid w:val="46B817C7"/>
    <w:rsid w:val="47314E5B"/>
    <w:rsid w:val="47553725"/>
    <w:rsid w:val="4820317F"/>
    <w:rsid w:val="48A50BA3"/>
    <w:rsid w:val="48CA2F83"/>
    <w:rsid w:val="490F33CC"/>
    <w:rsid w:val="49857E20"/>
    <w:rsid w:val="49F821E9"/>
    <w:rsid w:val="4A081BD8"/>
    <w:rsid w:val="4A486B60"/>
    <w:rsid w:val="4AF83705"/>
    <w:rsid w:val="4B15047D"/>
    <w:rsid w:val="4BBA14CC"/>
    <w:rsid w:val="4C7910C5"/>
    <w:rsid w:val="4CC6346C"/>
    <w:rsid w:val="4CFC70AE"/>
    <w:rsid w:val="4D25547A"/>
    <w:rsid w:val="4D3B490E"/>
    <w:rsid w:val="4D617B07"/>
    <w:rsid w:val="4E6529D5"/>
    <w:rsid w:val="4ED152B3"/>
    <w:rsid w:val="4F0F4119"/>
    <w:rsid w:val="4F3C3ACC"/>
    <w:rsid w:val="4F7B7BD9"/>
    <w:rsid w:val="4F9B5DE2"/>
    <w:rsid w:val="4FA03482"/>
    <w:rsid w:val="4FB9245B"/>
    <w:rsid w:val="4FC251EE"/>
    <w:rsid w:val="4FCB7A49"/>
    <w:rsid w:val="50221D62"/>
    <w:rsid w:val="502F6046"/>
    <w:rsid w:val="506D5907"/>
    <w:rsid w:val="507B329D"/>
    <w:rsid w:val="50986F00"/>
    <w:rsid w:val="50A87266"/>
    <w:rsid w:val="50A963FD"/>
    <w:rsid w:val="50B923A2"/>
    <w:rsid w:val="50DB117C"/>
    <w:rsid w:val="511308D3"/>
    <w:rsid w:val="51691D58"/>
    <w:rsid w:val="51845870"/>
    <w:rsid w:val="519A3924"/>
    <w:rsid w:val="51AB222B"/>
    <w:rsid w:val="52113E74"/>
    <w:rsid w:val="521C4D2E"/>
    <w:rsid w:val="525E39B3"/>
    <w:rsid w:val="5309067F"/>
    <w:rsid w:val="533F5229"/>
    <w:rsid w:val="5394161F"/>
    <w:rsid w:val="541E5A0C"/>
    <w:rsid w:val="547B1955"/>
    <w:rsid w:val="54AF08C6"/>
    <w:rsid w:val="550F640B"/>
    <w:rsid w:val="55345EC4"/>
    <w:rsid w:val="555D063F"/>
    <w:rsid w:val="55C63142"/>
    <w:rsid w:val="55C71A0E"/>
    <w:rsid w:val="560D45C6"/>
    <w:rsid w:val="560D7E52"/>
    <w:rsid w:val="566D4D24"/>
    <w:rsid w:val="566E43BE"/>
    <w:rsid w:val="56E2746A"/>
    <w:rsid w:val="56F658BD"/>
    <w:rsid w:val="57277626"/>
    <w:rsid w:val="5729591F"/>
    <w:rsid w:val="57561879"/>
    <w:rsid w:val="57837273"/>
    <w:rsid w:val="57CD0E7B"/>
    <w:rsid w:val="57CE1B7E"/>
    <w:rsid w:val="57F80F2A"/>
    <w:rsid w:val="586A23B1"/>
    <w:rsid w:val="59207A8F"/>
    <w:rsid w:val="5A0E0E4F"/>
    <w:rsid w:val="5A205037"/>
    <w:rsid w:val="5A2120C5"/>
    <w:rsid w:val="5A3C236A"/>
    <w:rsid w:val="5A4C51F6"/>
    <w:rsid w:val="5A4E7275"/>
    <w:rsid w:val="5AB04A11"/>
    <w:rsid w:val="5AE76B11"/>
    <w:rsid w:val="5AEC5C96"/>
    <w:rsid w:val="5B0833BF"/>
    <w:rsid w:val="5B0E4079"/>
    <w:rsid w:val="5BA425D2"/>
    <w:rsid w:val="5BAF00BD"/>
    <w:rsid w:val="5CA26E68"/>
    <w:rsid w:val="5D073A14"/>
    <w:rsid w:val="5D2406AA"/>
    <w:rsid w:val="5D723FF8"/>
    <w:rsid w:val="5D7E77C2"/>
    <w:rsid w:val="5DDD50CB"/>
    <w:rsid w:val="5E5F71D2"/>
    <w:rsid w:val="5EFF7537"/>
    <w:rsid w:val="5F057B5D"/>
    <w:rsid w:val="5F2C5342"/>
    <w:rsid w:val="5F8F733E"/>
    <w:rsid w:val="5F932434"/>
    <w:rsid w:val="5FC55FA2"/>
    <w:rsid w:val="5FD8653C"/>
    <w:rsid w:val="5FDA6B79"/>
    <w:rsid w:val="601520E1"/>
    <w:rsid w:val="605F5CC8"/>
    <w:rsid w:val="60B239E0"/>
    <w:rsid w:val="612B2474"/>
    <w:rsid w:val="61502274"/>
    <w:rsid w:val="61B37B81"/>
    <w:rsid w:val="61C471A3"/>
    <w:rsid w:val="61F81BA0"/>
    <w:rsid w:val="6286063A"/>
    <w:rsid w:val="629F134C"/>
    <w:rsid w:val="635F0AA4"/>
    <w:rsid w:val="63744B50"/>
    <w:rsid w:val="638A7801"/>
    <w:rsid w:val="638C30D9"/>
    <w:rsid w:val="63A155BF"/>
    <w:rsid w:val="66400F0D"/>
    <w:rsid w:val="669018C4"/>
    <w:rsid w:val="66CE004A"/>
    <w:rsid w:val="66FF49C2"/>
    <w:rsid w:val="68094C3A"/>
    <w:rsid w:val="6825646F"/>
    <w:rsid w:val="682C280C"/>
    <w:rsid w:val="684C5F39"/>
    <w:rsid w:val="685779A2"/>
    <w:rsid w:val="68782B12"/>
    <w:rsid w:val="692D669A"/>
    <w:rsid w:val="695316BB"/>
    <w:rsid w:val="69590C7C"/>
    <w:rsid w:val="69635855"/>
    <w:rsid w:val="69971B44"/>
    <w:rsid w:val="69E479BE"/>
    <w:rsid w:val="6A484A87"/>
    <w:rsid w:val="6A93522A"/>
    <w:rsid w:val="6AB40CF4"/>
    <w:rsid w:val="6AF46499"/>
    <w:rsid w:val="6B2731A1"/>
    <w:rsid w:val="6B534A0D"/>
    <w:rsid w:val="6BA257E2"/>
    <w:rsid w:val="6BA82671"/>
    <w:rsid w:val="6C335886"/>
    <w:rsid w:val="6C913CF0"/>
    <w:rsid w:val="6CE116EB"/>
    <w:rsid w:val="6D2634A0"/>
    <w:rsid w:val="6D4113E3"/>
    <w:rsid w:val="6D491F96"/>
    <w:rsid w:val="6DBF7283"/>
    <w:rsid w:val="6E7F558E"/>
    <w:rsid w:val="6EA44903"/>
    <w:rsid w:val="6ECD5395"/>
    <w:rsid w:val="6F097333"/>
    <w:rsid w:val="6F267D5E"/>
    <w:rsid w:val="6FAD6CFC"/>
    <w:rsid w:val="6FB91DC2"/>
    <w:rsid w:val="704056F7"/>
    <w:rsid w:val="70DC792E"/>
    <w:rsid w:val="72632102"/>
    <w:rsid w:val="727E228A"/>
    <w:rsid w:val="728A4488"/>
    <w:rsid w:val="728B4494"/>
    <w:rsid w:val="72BC4E87"/>
    <w:rsid w:val="72D625DB"/>
    <w:rsid w:val="72E72287"/>
    <w:rsid w:val="73462AFF"/>
    <w:rsid w:val="74597AC4"/>
    <w:rsid w:val="74D82DF5"/>
    <w:rsid w:val="75AE345C"/>
    <w:rsid w:val="75B3457D"/>
    <w:rsid w:val="763726A9"/>
    <w:rsid w:val="76D1652C"/>
    <w:rsid w:val="770E0732"/>
    <w:rsid w:val="770F419A"/>
    <w:rsid w:val="77171F9D"/>
    <w:rsid w:val="77A50841"/>
    <w:rsid w:val="77A517C7"/>
    <w:rsid w:val="7845735B"/>
    <w:rsid w:val="7847469D"/>
    <w:rsid w:val="78D9755A"/>
    <w:rsid w:val="79027079"/>
    <w:rsid w:val="79341F46"/>
    <w:rsid w:val="79590294"/>
    <w:rsid w:val="7969175C"/>
    <w:rsid w:val="7972647D"/>
    <w:rsid w:val="79780BD4"/>
    <w:rsid w:val="798763AE"/>
    <w:rsid w:val="7993425C"/>
    <w:rsid w:val="7A521717"/>
    <w:rsid w:val="7A9071C1"/>
    <w:rsid w:val="7A995E93"/>
    <w:rsid w:val="7AD76164"/>
    <w:rsid w:val="7B33107C"/>
    <w:rsid w:val="7B3431F3"/>
    <w:rsid w:val="7B52156E"/>
    <w:rsid w:val="7B7918CC"/>
    <w:rsid w:val="7BBC03A9"/>
    <w:rsid w:val="7BC93C26"/>
    <w:rsid w:val="7BCD3DD9"/>
    <w:rsid w:val="7C1D6D69"/>
    <w:rsid w:val="7C8668BF"/>
    <w:rsid w:val="7D300F22"/>
    <w:rsid w:val="7DA13A25"/>
    <w:rsid w:val="7DA55F7A"/>
    <w:rsid w:val="7E0109C9"/>
    <w:rsid w:val="7E114AD5"/>
    <w:rsid w:val="7E3C77F5"/>
    <w:rsid w:val="7EED60C5"/>
    <w:rsid w:val="7F5F577C"/>
    <w:rsid w:val="7F840F53"/>
    <w:rsid w:val="7FA846D4"/>
    <w:rsid w:val="7FD137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uiPriority="99"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iPriority="99" w:name="List Bullet 5"/>
    <w:lsdException w:unhideWhenUsed="0" w:uiPriority="0" w:semiHidden="0"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3">
    <w:name w:val="heading 2"/>
    <w:basedOn w:val="1"/>
    <w:next w:val="1"/>
    <w:link w:val="68"/>
    <w:qFormat/>
    <w:uiPriority w:val="0"/>
    <w:pPr>
      <w:keepNext/>
      <w:keepLines/>
      <w:adjustRightInd w:val="0"/>
      <w:snapToGrid w:val="0"/>
      <w:spacing w:line="360" w:lineRule="auto"/>
      <w:outlineLvl w:val="1"/>
    </w:pPr>
    <w:rPr>
      <w:rFonts w:ascii="宋体" w:hAnsi="宋体"/>
    </w:rPr>
  </w:style>
  <w:style w:type="paragraph" w:styleId="4">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paragraph" w:styleId="5">
    <w:name w:val="heading 4"/>
    <w:basedOn w:val="1"/>
    <w:next w:val="1"/>
    <w:qFormat/>
    <w:uiPriority w:val="0"/>
    <w:pPr>
      <w:keepNext/>
      <w:keepLines/>
      <w:numPr>
        <w:ilvl w:val="0"/>
        <w:numId w:val="1"/>
      </w:numPr>
      <w:tabs>
        <w:tab w:val="left" w:pos="720"/>
      </w:tabs>
      <w:spacing w:before="560" w:after="290" w:line="377"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60">
    <w:name w:val="Default Paragraph Font"/>
    <w:uiPriority w:val="0"/>
  </w:style>
  <w:style w:type="table" w:default="1" w:styleId="58">
    <w:name w:val="Normal Table"/>
    <w:unhideWhenUsed/>
    <w:uiPriority w:val="99"/>
    <w:tblPr>
      <w:tblCellMar>
        <w:top w:w="0" w:type="dxa"/>
        <w:left w:w="108" w:type="dxa"/>
        <w:bottom w:w="0" w:type="dxa"/>
        <w:right w:w="108" w:type="dxa"/>
      </w:tblCellMar>
    </w:tblPr>
  </w:style>
  <w:style w:type="paragraph" w:styleId="11">
    <w:name w:val="List 3"/>
    <w:basedOn w:val="1"/>
    <w:uiPriority w:val="0"/>
    <w:pPr>
      <w:adjustRightInd w:val="0"/>
      <w:snapToGrid w:val="0"/>
      <w:spacing w:line="360" w:lineRule="auto"/>
      <w:ind w:left="100" w:leftChars="400" w:hanging="200" w:hangingChars="200"/>
    </w:pPr>
    <w:rPr>
      <w:sz w:val="24"/>
    </w:rPr>
  </w:style>
  <w:style w:type="paragraph" w:styleId="12">
    <w:name w:val="toc 7"/>
    <w:basedOn w:val="1"/>
    <w:next w:val="1"/>
    <w:uiPriority w:val="0"/>
    <w:pPr>
      <w:ind w:left="2520" w:leftChars="1200"/>
    </w:pPr>
  </w:style>
  <w:style w:type="paragraph" w:styleId="13">
    <w:name w:val="List Number 2"/>
    <w:basedOn w:val="1"/>
    <w:uiPriority w:val="0"/>
    <w:pPr>
      <w:numPr>
        <w:ilvl w:val="0"/>
        <w:numId w:val="2"/>
      </w:numPr>
      <w:spacing w:line="360" w:lineRule="auto"/>
    </w:pPr>
    <w:rPr>
      <w:sz w:val="24"/>
    </w:rPr>
  </w:style>
  <w:style w:type="paragraph" w:styleId="14">
    <w:name w:val="List Bullet 4"/>
    <w:basedOn w:val="1"/>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5">
    <w:name w:val="Normal Indent"/>
    <w:basedOn w:val="1"/>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uiPriority w:val="0"/>
    <w:pPr>
      <w:shd w:val="clear" w:color="auto" w:fill="000080"/>
    </w:pPr>
  </w:style>
  <w:style w:type="paragraph" w:styleId="18">
    <w:name w:val="toa heading"/>
    <w:basedOn w:val="1"/>
    <w:next w:val="1"/>
    <w:uiPriority w:val="0"/>
    <w:pPr>
      <w:spacing w:before="120" w:beforeLines="0" w:beforeAutospacing="0"/>
    </w:pPr>
    <w:rPr>
      <w:rFonts w:ascii="Arial" w:hAnsi="Arial"/>
      <w:sz w:val="24"/>
    </w:rPr>
  </w:style>
  <w:style w:type="paragraph" w:styleId="19">
    <w:name w:val="annotation text"/>
    <w:basedOn w:val="1"/>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0">
    <w:name w:val="Body Text 3"/>
    <w:basedOn w:val="1"/>
    <w:uiPriority w:val="0"/>
    <w:pPr>
      <w:adjustRightInd w:val="0"/>
      <w:snapToGrid w:val="0"/>
      <w:spacing w:after="120" w:afterLines="0" w:afterAutospacing="0" w:line="360" w:lineRule="auto"/>
    </w:pPr>
    <w:rPr>
      <w:sz w:val="16"/>
    </w:rPr>
  </w:style>
  <w:style w:type="paragraph" w:styleId="21">
    <w:name w:val="List Bullet 3"/>
    <w:basedOn w:val="1"/>
    <w:uiPriority w:val="0"/>
    <w:pPr>
      <w:numPr>
        <w:ilvl w:val="0"/>
        <w:numId w:val="4"/>
      </w:numPr>
      <w:adjustRightInd w:val="0"/>
      <w:snapToGrid w:val="0"/>
      <w:spacing w:line="360" w:lineRule="auto"/>
    </w:pPr>
    <w:rPr>
      <w:sz w:val="24"/>
    </w:rPr>
  </w:style>
  <w:style w:type="paragraph" w:styleId="22">
    <w:name w:val="Body Text"/>
    <w:basedOn w:val="1"/>
    <w:uiPriority w:val="0"/>
    <w:rPr>
      <w:rFonts w:ascii="仿宋_GB2312" w:eastAsia="仿宋_GB2312"/>
      <w:kern w:val="2"/>
      <w:sz w:val="32"/>
    </w:rPr>
  </w:style>
  <w:style w:type="paragraph" w:styleId="23">
    <w:name w:val="Body Text Indent"/>
    <w:basedOn w:val="1"/>
    <w:uiPriority w:val="0"/>
    <w:pPr>
      <w:spacing w:line="700" w:lineRule="exact"/>
      <w:ind w:left="960"/>
    </w:pPr>
    <w:rPr>
      <w:sz w:val="44"/>
    </w:rPr>
  </w:style>
  <w:style w:type="paragraph" w:styleId="24">
    <w:name w:val="List Number 3"/>
    <w:basedOn w:val="1"/>
    <w:uiPriority w:val="0"/>
    <w:pPr>
      <w:tabs>
        <w:tab w:val="left" w:pos="2120"/>
      </w:tabs>
      <w:adjustRightInd w:val="0"/>
      <w:snapToGrid w:val="0"/>
      <w:spacing w:line="360" w:lineRule="auto"/>
      <w:ind w:left="2120" w:hanging="720"/>
    </w:pPr>
    <w:rPr>
      <w:sz w:val="24"/>
    </w:rPr>
  </w:style>
  <w:style w:type="paragraph" w:styleId="25">
    <w:name w:val="List 2"/>
    <w:basedOn w:val="1"/>
    <w:uiPriority w:val="0"/>
    <w:pPr>
      <w:adjustRightInd w:val="0"/>
      <w:snapToGrid w:val="0"/>
      <w:spacing w:line="360" w:lineRule="auto"/>
      <w:ind w:left="100" w:leftChars="200" w:hanging="200" w:hangingChars="200"/>
    </w:pPr>
    <w:rPr>
      <w:sz w:val="24"/>
    </w:rPr>
  </w:style>
  <w:style w:type="paragraph" w:styleId="26">
    <w:name w:val="List Continue"/>
    <w:basedOn w:val="1"/>
    <w:uiPriority w:val="0"/>
    <w:pPr>
      <w:adjustRightInd w:val="0"/>
      <w:snapToGrid w:val="0"/>
      <w:spacing w:after="120" w:afterLines="0" w:afterAutospacing="0" w:line="360" w:lineRule="auto"/>
      <w:ind w:left="420" w:leftChars="200"/>
    </w:pPr>
    <w:rPr>
      <w:sz w:val="24"/>
    </w:rPr>
  </w:style>
  <w:style w:type="paragraph" w:styleId="27">
    <w:name w:val="List Bullet 2"/>
    <w:basedOn w:val="1"/>
    <w:uiPriority w:val="0"/>
    <w:pPr>
      <w:numPr>
        <w:ilvl w:val="0"/>
        <w:numId w:val="5"/>
      </w:numPr>
      <w:adjustRightInd w:val="0"/>
      <w:snapToGrid w:val="0"/>
      <w:spacing w:line="360" w:lineRule="auto"/>
    </w:pPr>
    <w:rPr>
      <w:sz w:val="24"/>
    </w:rPr>
  </w:style>
  <w:style w:type="paragraph" w:styleId="28">
    <w:name w:val="index 4"/>
    <w:basedOn w:val="1"/>
    <w:next w:val="1"/>
    <w:unhideWhenUsed/>
    <w:qFormat/>
    <w:uiPriority w:val="99"/>
    <w:pPr>
      <w:framePr w:hSpace="180" w:wrap="around" w:vAnchor="text" w:hAnchor="page" w:xAlign="center" w:y="387"/>
      <w:suppressOverlap/>
      <w:spacing w:line="360" w:lineRule="auto"/>
    </w:pPr>
  </w:style>
  <w:style w:type="paragraph" w:styleId="29">
    <w:name w:val="toc 5"/>
    <w:basedOn w:val="1"/>
    <w:next w:val="1"/>
    <w:qFormat/>
    <w:uiPriority w:val="0"/>
    <w:pPr>
      <w:ind w:left="1680" w:leftChars="800"/>
    </w:pPr>
  </w:style>
  <w:style w:type="paragraph" w:styleId="30">
    <w:name w:val="toc 3"/>
    <w:basedOn w:val="1"/>
    <w:next w:val="1"/>
    <w:qFormat/>
    <w:uiPriority w:val="0"/>
    <w:pPr>
      <w:ind w:left="840" w:leftChars="400"/>
    </w:pPr>
  </w:style>
  <w:style w:type="paragraph" w:styleId="31">
    <w:name w:val="Plain Text"/>
    <w:basedOn w:val="1"/>
    <w:qFormat/>
    <w:uiPriority w:val="0"/>
    <w:pPr>
      <w:adjustRightInd w:val="0"/>
      <w:snapToGrid w:val="0"/>
      <w:spacing w:line="360" w:lineRule="auto"/>
    </w:pPr>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69"/>
    <w:qFormat/>
    <w:uiPriority w:val="0"/>
  </w:style>
  <w:style w:type="paragraph" w:styleId="34">
    <w:name w:val="Body Text Indent 2"/>
    <w:basedOn w:val="1"/>
    <w:uiPriority w:val="0"/>
    <w:pPr>
      <w:snapToGrid w:val="0"/>
      <w:spacing w:line="440" w:lineRule="atLeast"/>
      <w:ind w:firstLine="570"/>
    </w:pPr>
    <w:rPr>
      <w:rFonts w:ascii="宋体"/>
    </w:rPr>
  </w:style>
  <w:style w:type="paragraph" w:styleId="35">
    <w:name w:val="Balloon Text"/>
    <w:basedOn w:val="1"/>
    <w:uiPriority w:val="0"/>
    <w:rPr>
      <w:sz w:val="18"/>
    </w:rPr>
  </w:style>
  <w:style w:type="paragraph" w:styleId="36">
    <w:name w:val="footer"/>
    <w:basedOn w:val="1"/>
    <w:uiPriority w:val="0"/>
    <w:pPr>
      <w:tabs>
        <w:tab w:val="center" w:pos="4153"/>
        <w:tab w:val="right" w:pos="8306"/>
      </w:tabs>
      <w:snapToGrid w:val="0"/>
      <w:jc w:val="left"/>
    </w:pPr>
    <w:rPr>
      <w:rFonts w:eastAsia="宋体"/>
      <w:kern w:val="2"/>
      <w:sz w:val="18"/>
      <w:lang w:val="en-US" w:eastAsia="zh-CN"/>
    </w:rPr>
  </w:style>
  <w:style w:type="paragraph" w:styleId="37">
    <w:name w:val="header"/>
    <w:basedOn w:val="1"/>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38">
    <w:name w:val="toc 1"/>
    <w:basedOn w:val="1"/>
    <w:next w:val="1"/>
    <w:uiPriority w:val="39"/>
    <w:pPr>
      <w:tabs>
        <w:tab w:val="left" w:pos="1260"/>
        <w:tab w:val="left" w:pos="1685"/>
        <w:tab w:val="right" w:leader="dot" w:pos="8400"/>
      </w:tabs>
      <w:spacing w:line="320" w:lineRule="exact"/>
      <w:ind w:firstLine="280" w:firstLineChars="100"/>
    </w:pPr>
  </w:style>
  <w:style w:type="paragraph" w:styleId="39">
    <w:name w:val="List Continue 4"/>
    <w:basedOn w:val="1"/>
    <w:uiPriority w:val="0"/>
    <w:pPr>
      <w:adjustRightInd w:val="0"/>
      <w:snapToGrid w:val="0"/>
      <w:spacing w:after="120" w:afterLines="0" w:afterAutospacing="0" w:line="360" w:lineRule="auto"/>
      <w:ind w:left="1680" w:leftChars="800"/>
    </w:pPr>
    <w:rPr>
      <w:sz w:val="24"/>
    </w:rPr>
  </w:style>
  <w:style w:type="paragraph" w:styleId="40">
    <w:name w:val="toc 4"/>
    <w:basedOn w:val="1"/>
    <w:next w:val="1"/>
    <w:uiPriority w:val="0"/>
    <w:pPr>
      <w:ind w:left="1260" w:leftChars="600"/>
    </w:pPr>
  </w:style>
  <w:style w:type="paragraph" w:styleId="41">
    <w:name w:val="footnote text"/>
    <w:basedOn w:val="1"/>
    <w:uiPriority w:val="0"/>
    <w:pPr>
      <w:spacing w:line="360" w:lineRule="auto"/>
    </w:pPr>
    <w:rPr>
      <w:sz w:val="18"/>
    </w:rPr>
  </w:style>
  <w:style w:type="paragraph" w:styleId="42">
    <w:name w:val="toc 6"/>
    <w:basedOn w:val="1"/>
    <w:next w:val="1"/>
    <w:uiPriority w:val="0"/>
    <w:pPr>
      <w:ind w:left="2100" w:leftChars="1000"/>
    </w:pPr>
  </w:style>
  <w:style w:type="paragraph" w:styleId="43">
    <w:name w:val="List 5"/>
    <w:basedOn w:val="1"/>
    <w:uiPriority w:val="0"/>
    <w:pPr>
      <w:adjustRightInd w:val="0"/>
      <w:snapToGrid w:val="0"/>
      <w:spacing w:line="360" w:lineRule="auto"/>
      <w:ind w:left="100" w:leftChars="800" w:hanging="200" w:hangingChars="200"/>
    </w:pPr>
    <w:rPr>
      <w:sz w:val="24"/>
    </w:rPr>
  </w:style>
  <w:style w:type="paragraph" w:styleId="44">
    <w:name w:val="Body Text Indent 3"/>
    <w:basedOn w:val="1"/>
    <w:uiPriority w:val="0"/>
    <w:pPr>
      <w:spacing w:line="360" w:lineRule="auto"/>
      <w:ind w:firstLine="632"/>
    </w:pPr>
    <w:rPr>
      <w:rFonts w:ascii="黑体" w:eastAsia="黑体"/>
    </w:rPr>
  </w:style>
  <w:style w:type="paragraph" w:styleId="45">
    <w:name w:val="table of figures"/>
    <w:basedOn w:val="1"/>
    <w:next w:val="1"/>
    <w:uiPriority w:val="0"/>
    <w:pPr>
      <w:tabs>
        <w:tab w:val="right" w:leader="dot" w:pos="8640"/>
      </w:tabs>
      <w:spacing w:line="360" w:lineRule="auto"/>
      <w:ind w:left="400" w:hanging="400"/>
    </w:pPr>
    <w:rPr>
      <w:sz w:val="24"/>
    </w:rPr>
  </w:style>
  <w:style w:type="paragraph" w:styleId="46">
    <w:name w:val="toc 2"/>
    <w:basedOn w:val="1"/>
    <w:next w:val="1"/>
    <w:uiPriority w:val="39"/>
    <w:pPr>
      <w:tabs>
        <w:tab w:val="right" w:leader="dot" w:pos="8400"/>
      </w:tabs>
      <w:spacing w:line="440" w:lineRule="exact"/>
      <w:ind w:left="280" w:leftChars="100" w:rightChars="-91"/>
    </w:pPr>
  </w:style>
  <w:style w:type="paragraph" w:styleId="47">
    <w:name w:val="toc 9"/>
    <w:basedOn w:val="1"/>
    <w:next w:val="1"/>
    <w:uiPriority w:val="0"/>
    <w:pPr>
      <w:ind w:left="3360" w:leftChars="1600"/>
    </w:pPr>
  </w:style>
  <w:style w:type="paragraph" w:styleId="48">
    <w:name w:val="Body Text 2"/>
    <w:basedOn w:val="1"/>
    <w:uiPriority w:val="0"/>
    <w:pPr>
      <w:adjustRightInd w:val="0"/>
      <w:snapToGrid w:val="0"/>
      <w:spacing w:after="120" w:afterLines="0" w:afterAutospacing="0" w:line="480" w:lineRule="auto"/>
    </w:pPr>
    <w:rPr>
      <w:sz w:val="24"/>
    </w:rPr>
  </w:style>
  <w:style w:type="paragraph" w:styleId="49">
    <w:name w:val="List 4"/>
    <w:basedOn w:val="1"/>
    <w:uiPriority w:val="0"/>
    <w:pPr>
      <w:adjustRightInd w:val="0"/>
      <w:snapToGrid w:val="0"/>
      <w:spacing w:line="360" w:lineRule="auto"/>
      <w:ind w:left="100" w:leftChars="600" w:hanging="200" w:hangingChars="200"/>
    </w:pPr>
    <w:rPr>
      <w:sz w:val="24"/>
    </w:rPr>
  </w:style>
  <w:style w:type="paragraph" w:styleId="50">
    <w:name w:val="List Continue 2"/>
    <w:basedOn w:val="1"/>
    <w:uiPriority w:val="0"/>
    <w:pPr>
      <w:adjustRightInd w:val="0"/>
      <w:snapToGrid w:val="0"/>
      <w:spacing w:after="120" w:afterLines="0" w:afterAutospacing="0" w:line="360" w:lineRule="auto"/>
      <w:ind w:left="840" w:leftChars="400"/>
    </w:pPr>
    <w:rPr>
      <w:sz w:val="24"/>
    </w:rPr>
  </w:style>
  <w:style w:type="paragraph" w:styleId="51">
    <w:name w:val="Normal (Web)"/>
    <w:basedOn w:val="1"/>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52">
    <w:name w:val="List Continue 3"/>
    <w:basedOn w:val="1"/>
    <w:uiPriority w:val="0"/>
    <w:pPr>
      <w:adjustRightInd w:val="0"/>
      <w:snapToGrid w:val="0"/>
      <w:spacing w:after="120" w:afterLines="0" w:afterAutospacing="0" w:line="360" w:lineRule="auto"/>
      <w:ind w:left="1260" w:leftChars="600"/>
    </w:pPr>
    <w:rPr>
      <w:sz w:val="24"/>
    </w:rPr>
  </w:style>
  <w:style w:type="paragraph" w:styleId="53">
    <w:name w:val="index 1"/>
    <w:basedOn w:val="1"/>
    <w:next w:val="1"/>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afterLines="0" w:afterAutospacing="0" w:line="360" w:lineRule="auto"/>
      <w:jc w:val="center"/>
    </w:pPr>
    <w:rPr>
      <w:rFonts w:ascii="Arial" w:hAnsi="Arial" w:eastAsia="宋体"/>
      <w:b/>
      <w:smallCaps/>
      <w:kern w:val="28"/>
      <w:sz w:val="36"/>
      <w:lang w:val="en-US" w:eastAsia="en-US"/>
    </w:rPr>
  </w:style>
  <w:style w:type="paragraph" w:styleId="55">
    <w:name w:val="annotation subject"/>
    <w:basedOn w:val="19"/>
    <w:next w:val="19"/>
    <w:uiPriority w:val="0"/>
    <w:pPr>
      <w:widowControl w:val="0"/>
      <w:tabs>
        <w:tab w:val="clear" w:pos="1134"/>
      </w:tabs>
      <w:adjustRightInd/>
      <w:snapToGrid/>
      <w:spacing w:line="240" w:lineRule="auto"/>
    </w:pPr>
    <w:rPr>
      <w:rFonts w:eastAsia="宋体"/>
      <w:b/>
      <w:kern w:val="2"/>
      <w:sz w:val="21"/>
      <w:lang w:val="en-US" w:eastAsia="zh-CN"/>
    </w:rPr>
  </w:style>
  <w:style w:type="paragraph" w:styleId="56">
    <w:name w:val="Body Text First Indent"/>
    <w:basedOn w:val="1"/>
    <w:uiPriority w:val="0"/>
    <w:pPr>
      <w:spacing w:line="360" w:lineRule="auto"/>
      <w:ind w:firstLine="420"/>
    </w:pPr>
    <w:rPr>
      <w:rFonts w:ascii="宋体" w:hAnsi="宋体"/>
      <w:sz w:val="24"/>
    </w:rPr>
  </w:style>
  <w:style w:type="paragraph" w:styleId="57">
    <w:name w:val="Body Text First Indent 2"/>
    <w:basedOn w:val="23"/>
    <w:uiPriority w:val="0"/>
    <w:pPr>
      <w:spacing w:after="120" w:afterLines="0" w:afterAutospacing="0" w:line="240" w:lineRule="auto"/>
      <w:ind w:left="420" w:leftChars="200" w:firstLine="420" w:firstLineChars="200"/>
    </w:pPr>
    <w:rPr>
      <w:sz w:val="21"/>
    </w:rPr>
  </w:style>
  <w:style w:type="table" w:styleId="59">
    <w:name w:val="Table Grid"/>
    <w:basedOn w:val="5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uiPriority w:val="0"/>
  </w:style>
  <w:style w:type="character" w:styleId="63">
    <w:name w:val="FollowedHyperlink"/>
    <w:uiPriority w:val="0"/>
    <w:rPr>
      <w:color w:val="800080"/>
      <w:u w:val="single"/>
    </w:rPr>
  </w:style>
  <w:style w:type="character" w:styleId="64">
    <w:name w:val="Emphasis"/>
    <w:qFormat/>
    <w:uiPriority w:val="0"/>
    <w:rPr>
      <w:i/>
    </w:rPr>
  </w:style>
  <w:style w:type="character" w:styleId="65">
    <w:name w:val="Hyperlink"/>
    <w:uiPriority w:val="99"/>
    <w:rPr>
      <w:color w:val="0000FF"/>
      <w:u w:val="single"/>
    </w:rPr>
  </w:style>
  <w:style w:type="character" w:styleId="66">
    <w:name w:val="annotation reference"/>
    <w:uiPriority w:val="0"/>
    <w:rPr>
      <w:sz w:val="21"/>
    </w:rPr>
  </w:style>
  <w:style w:type="character" w:styleId="67">
    <w:name w:val="footnote reference"/>
    <w:uiPriority w:val="0"/>
    <w:rPr>
      <w:position w:val="6"/>
      <w:sz w:val="14"/>
      <w:vertAlign w:val="superscript"/>
    </w:rPr>
  </w:style>
  <w:style w:type="character" w:customStyle="1" w:styleId="68">
    <w:name w:val="标题 2 Char"/>
    <w:link w:val="3"/>
    <w:uiPriority w:val="0"/>
    <w:rPr>
      <w:rFonts w:ascii="宋体" w:hAnsi="宋体"/>
      <w:kern w:val="2"/>
      <w:sz w:val="28"/>
    </w:rPr>
  </w:style>
  <w:style w:type="character" w:customStyle="1" w:styleId="69">
    <w:name w:val="日期 Char"/>
    <w:link w:val="33"/>
    <w:uiPriority w:val="0"/>
    <w:rPr>
      <w:kern w:val="2"/>
      <w:sz w:val="28"/>
    </w:rPr>
  </w:style>
  <w:style w:type="character" w:customStyle="1" w:styleId="70">
    <w:name w:val="样式 宋体"/>
    <w:uiPriority w:val="0"/>
    <w:rPr>
      <w:rFonts w:ascii="宋体" w:hAnsi="宋体" w:eastAsia="宋体"/>
      <w:sz w:val="28"/>
    </w:rPr>
  </w:style>
  <w:style w:type="character" w:customStyle="1" w:styleId="71">
    <w:name w:val=" Char Char5"/>
    <w:uiPriority w:val="0"/>
    <w:rPr>
      <w:rFonts w:ascii="Arial" w:hAnsi="Arial" w:eastAsia="宋体"/>
      <w:b/>
      <w:smallCaps/>
      <w:kern w:val="28"/>
      <w:sz w:val="36"/>
      <w:lang w:val="en-US" w:eastAsia="en-US"/>
    </w:rPr>
  </w:style>
  <w:style w:type="character" w:customStyle="1" w:styleId="72">
    <w:name w:val="top-det1"/>
    <w:uiPriority w:val="0"/>
    <w:rPr>
      <w:b/>
      <w:color w:val="000000"/>
    </w:rPr>
  </w:style>
  <w:style w:type="character" w:customStyle="1" w:styleId="73">
    <w:name w:val="font1"/>
    <w:uiPriority w:val="0"/>
    <w:rPr>
      <w:color w:val="000000"/>
      <w:sz w:val="18"/>
    </w:rPr>
  </w:style>
  <w:style w:type="character" w:customStyle="1" w:styleId="74">
    <w:name w:val="标书正文:  0.74 厘米 Char1"/>
    <w:uiPriority w:val="0"/>
    <w:rPr>
      <w:rFonts w:eastAsia="宋体"/>
      <w:kern w:val="2"/>
      <w:sz w:val="24"/>
      <w:lang w:val="en-US" w:eastAsia="zh-CN"/>
    </w:rPr>
  </w:style>
  <w:style w:type="character" w:customStyle="1" w:styleId="75">
    <w:name w:val="小 Char"/>
    <w:uiPriority w:val="0"/>
    <w:rPr>
      <w:rFonts w:ascii="宋体" w:hAnsi="Courier New" w:eastAsia="宋体"/>
      <w:kern w:val="2"/>
      <w:sz w:val="21"/>
      <w:lang w:val="en-US" w:eastAsia="zh-CN" w:bidi="ar-SA"/>
    </w:rPr>
  </w:style>
  <w:style w:type="character" w:customStyle="1" w:styleId="76">
    <w:name w:val=" Char Char"/>
    <w:uiPriority w:val="0"/>
    <w:rPr>
      <w:rFonts w:ascii="宋体" w:hAnsi="宋体" w:eastAsia="宋体"/>
      <w:kern w:val="2"/>
      <w:sz w:val="24"/>
      <w:lang w:val="en-US" w:eastAsia="zh-CN" w:bidi="ar-SA"/>
    </w:rPr>
  </w:style>
  <w:style w:type="character" w:customStyle="1" w:styleId="77">
    <w:name w:val=" Char Char2"/>
    <w:uiPriority w:val="0"/>
    <w:rPr>
      <w:rFonts w:eastAsia="宋体"/>
      <w:kern w:val="2"/>
      <w:sz w:val="18"/>
      <w:lang w:val="en-US" w:eastAsia="zh-CN"/>
    </w:rPr>
  </w:style>
  <w:style w:type="character" w:customStyle="1" w:styleId="78">
    <w:name w:val="v151"/>
    <w:uiPriority w:val="0"/>
    <w:rPr>
      <w:sz w:val="18"/>
    </w:rPr>
  </w:style>
  <w:style w:type="character" w:customStyle="1" w:styleId="79">
    <w:name w:val="Table Text Char"/>
    <w:uiPriority w:val="0"/>
    <w:rPr>
      <w:rFonts w:ascii="Arial" w:hAnsi="Arial"/>
      <w:kern w:val="2"/>
      <w:sz w:val="18"/>
      <w:lang w:val="en-US" w:eastAsia="zh-CN" w:bidi="ar-SA"/>
    </w:rPr>
  </w:style>
  <w:style w:type="character" w:customStyle="1" w:styleId="80">
    <w:name w:val="未命名11"/>
    <w:uiPriority w:val="0"/>
    <w:rPr>
      <w:color w:val="77FFFF"/>
      <w:sz w:val="24"/>
    </w:rPr>
  </w:style>
  <w:style w:type="character" w:customStyle="1" w:styleId="81">
    <w:name w:val="Table Text Char Char Char Char"/>
    <w:uiPriority w:val="0"/>
    <w:rPr>
      <w:rFonts w:ascii="Arial" w:hAnsi="Arial"/>
      <w:kern w:val="2"/>
      <w:sz w:val="18"/>
      <w:lang w:val="en-US" w:eastAsia="zh-CN" w:bidi="ar-SA"/>
    </w:rPr>
  </w:style>
  <w:style w:type="character" w:customStyle="1" w:styleId="82">
    <w:name w:val="Table Heading Char Char"/>
    <w:uiPriority w:val="0"/>
    <w:rPr>
      <w:rFonts w:ascii="Arial" w:hAnsi="Arial" w:eastAsia="黑体"/>
      <w:kern w:val="2"/>
      <w:sz w:val="18"/>
      <w:lang w:val="en-US" w:eastAsia="zh-CN"/>
    </w:rPr>
  </w:style>
  <w:style w:type="character" w:customStyle="1" w:styleId="83">
    <w:name w:val="正文 + 三号 Char"/>
    <w:uiPriority w:val="0"/>
    <w:rPr>
      <w:rFonts w:eastAsia="宋体"/>
      <w:kern w:val="2"/>
      <w:sz w:val="21"/>
      <w:lang w:val="en-US" w:eastAsia="zh-CN"/>
    </w:rPr>
  </w:style>
  <w:style w:type="character" w:customStyle="1" w:styleId="84">
    <w:name w:val=" Char Char6"/>
    <w:uiPriority w:val="0"/>
    <w:rPr>
      <w:rFonts w:ascii="仿宋_GB2312" w:eastAsia="仿宋_GB2312"/>
      <w:kern w:val="2"/>
      <w:sz w:val="32"/>
    </w:rPr>
  </w:style>
  <w:style w:type="character" w:customStyle="1" w:styleId="85">
    <w:name w:val="Table Text Char1 Char"/>
    <w:uiPriority w:val="0"/>
    <w:rPr>
      <w:rFonts w:ascii="Arial" w:hAnsi="Arial"/>
      <w:kern w:val="2"/>
      <w:sz w:val="18"/>
      <w:lang w:val="en-US" w:eastAsia="zh-CN" w:bidi="ar-SA"/>
    </w:rPr>
  </w:style>
  <w:style w:type="character" w:customStyle="1" w:styleId="86">
    <w:name w:val="文字 Char"/>
    <w:link w:val="87"/>
    <w:uiPriority w:val="0"/>
    <w:rPr>
      <w:rFonts w:ascii="宋体" w:eastAsia="宋体"/>
      <w:kern w:val="2"/>
      <w:sz w:val="28"/>
      <w:lang w:val="en-US" w:eastAsia="zh-CN" w:bidi="ar-SA"/>
    </w:rPr>
  </w:style>
  <w:style w:type="paragraph" w:customStyle="1" w:styleId="87">
    <w:name w:val="文字"/>
    <w:basedOn w:val="1"/>
    <w:link w:val="86"/>
    <w:uiPriority w:val="0"/>
    <w:pPr>
      <w:tabs>
        <w:tab w:val="left" w:pos="8520"/>
      </w:tabs>
      <w:spacing w:line="312" w:lineRule="auto"/>
      <w:ind w:right="-210" w:firstLine="556"/>
    </w:pPr>
    <w:rPr>
      <w:rFonts w:ascii="宋体"/>
    </w:rPr>
  </w:style>
  <w:style w:type="character" w:customStyle="1" w:styleId="88">
    <w:name w:val=" Char Char7"/>
    <w:uiPriority w:val="0"/>
    <w:rPr>
      <w:rFonts w:ascii="宋体" w:hAnsi="宋体" w:eastAsia="宋体"/>
      <w:kern w:val="2"/>
      <w:sz w:val="28"/>
    </w:rPr>
  </w:style>
  <w:style w:type="character" w:customStyle="1" w:styleId="89">
    <w:name w:val="content-white1"/>
    <w:uiPriority w:val="0"/>
    <w:rPr>
      <w:rFonts w:ascii="_x000B__x000C_" w:hAnsi="_x000B__x000C_"/>
      <w:color w:val="auto"/>
      <w:sz w:val="18"/>
      <w:u w:val="none"/>
    </w:rPr>
  </w:style>
  <w:style w:type="character" w:customStyle="1" w:styleId="90">
    <w:name w:val=" Char Char3"/>
    <w:uiPriority w:val="0"/>
    <w:rPr>
      <w:rFonts w:eastAsia="宋体"/>
      <w:kern w:val="2"/>
      <w:sz w:val="18"/>
      <w:lang w:val="en-US" w:eastAsia="zh-CN"/>
    </w:rPr>
  </w:style>
  <w:style w:type="character" w:customStyle="1" w:styleId="91">
    <w:name w:val="crowed11"/>
    <w:uiPriority w:val="0"/>
    <w:rPr>
      <w:rFonts w:hint="default" w:ascii="_x000B__x000C_" w:hAnsi="_x000B__x000C_"/>
      <w:sz w:val="24"/>
    </w:rPr>
  </w:style>
  <w:style w:type="character" w:customStyle="1" w:styleId="92">
    <w:name w:val=" Char Char4"/>
    <w:uiPriority w:val="0"/>
    <w:rPr>
      <w:rFonts w:eastAsia="宋体"/>
      <w:b/>
      <w:kern w:val="2"/>
      <w:sz w:val="21"/>
      <w:lang w:val="en-US" w:eastAsia="zh-CN"/>
    </w:rPr>
  </w:style>
  <w:style w:type="paragraph" w:customStyle="1" w:styleId="93">
    <w:name w:val="正文表格"/>
    <w:basedOn w:val="1"/>
    <w:uiPriority w:val="0"/>
    <w:pPr>
      <w:adjustRightInd w:val="0"/>
      <w:spacing w:before="40" w:beforeLines="0" w:beforeAutospacing="0" w:after="40" w:afterLines="0" w:afterAutospacing="0"/>
    </w:pPr>
    <w:rPr>
      <w:sz w:val="24"/>
    </w:rPr>
  </w:style>
  <w:style w:type="paragraph" w:customStyle="1" w:styleId="94">
    <w:name w:val="样式 样式 首行缩进:  2 字符 + 首行缩进:  2 字符"/>
    <w:basedOn w:val="1"/>
    <w:uiPriority w:val="0"/>
    <w:pPr>
      <w:numPr>
        <w:ilvl w:val="0"/>
        <w:numId w:val="6"/>
      </w:numPr>
      <w:tabs>
        <w:tab w:val="clear" w:pos="1230"/>
      </w:tabs>
      <w:spacing w:line="360" w:lineRule="auto"/>
      <w:ind w:firstLine="480" w:firstLineChars="200"/>
    </w:pPr>
    <w:rPr>
      <w:sz w:val="24"/>
    </w:rPr>
  </w:style>
  <w:style w:type="paragraph" w:customStyle="1" w:styleId="95">
    <w:name w:val="样式 宋体 五号 两端对齐 行距: 单倍行距"/>
    <w:basedOn w:val="1"/>
    <w:uiPriority w:val="0"/>
    <w:pPr>
      <w:adjustRightInd w:val="0"/>
      <w:textAlignment w:val="baseline"/>
    </w:pPr>
    <w:rPr>
      <w:rFonts w:ascii="宋体" w:hAnsi="宋体"/>
      <w:kern w:val="0"/>
      <w:sz w:val="21"/>
    </w:rPr>
  </w:style>
  <w:style w:type="paragraph" w:customStyle="1" w:styleId="96">
    <w:name w:val="IN Step"/>
    <w:basedOn w:val="1"/>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97">
    <w:name w:val="项目"/>
    <w:basedOn w:val="1"/>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98">
    <w:name w:val="编号正文"/>
    <w:basedOn w:val="99"/>
    <w:uiPriority w:val="0"/>
    <w:pPr>
      <w:snapToGrid/>
      <w:spacing w:line="360" w:lineRule="auto"/>
      <w:ind w:left="1407" w:hanging="1047"/>
      <w:jc w:val="left"/>
    </w:pPr>
    <w:rPr>
      <w:rFonts w:eastAsia="仿宋_GB2312"/>
    </w:rPr>
  </w:style>
  <w:style w:type="paragraph" w:customStyle="1" w:styleId="99">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0">
    <w:name w:val="关键词"/>
    <w:basedOn w:val="1"/>
    <w:next w:val="1"/>
    <w:uiPriority w:val="0"/>
    <w:pPr>
      <w:spacing w:line="360" w:lineRule="auto"/>
    </w:pPr>
    <w:rPr>
      <w:rFonts w:eastAsia="黑体"/>
      <w:sz w:val="20"/>
    </w:rPr>
  </w:style>
  <w:style w:type="paragraph" w:customStyle="1" w:styleId="101">
    <w:name w:val="默认段落字体 Para Char Char Char Char Char Char Char"/>
    <w:basedOn w:val="1"/>
    <w:uiPriority w:val="0"/>
    <w:rPr>
      <w:rFonts w:ascii="Tahoma" w:hAnsi="Tahoma"/>
      <w:sz w:val="24"/>
    </w:rPr>
  </w:style>
  <w:style w:type="paragraph" w:customStyle="1" w:styleId="102">
    <w:name w:val="Char1 Char Char Char"/>
    <w:basedOn w:val="1"/>
    <w:uiPriority w:val="0"/>
    <w:rPr>
      <w:rFonts w:ascii="Tahoma" w:hAnsi="Tahoma"/>
      <w:sz w:val="21"/>
    </w:rPr>
  </w:style>
  <w:style w:type="paragraph" w:customStyle="1" w:styleId="103">
    <w:name w:val="标书正文:  0.74 厘米"/>
    <w:basedOn w:val="1"/>
    <w:uiPriority w:val="0"/>
    <w:pPr>
      <w:snapToGrid w:val="0"/>
      <w:spacing w:line="360" w:lineRule="auto"/>
      <w:ind w:firstLine="420"/>
    </w:pPr>
    <w:rPr>
      <w:rFonts w:eastAsia="宋体"/>
      <w:kern w:val="2"/>
      <w:sz w:val="24"/>
      <w:lang w:val="en-US" w:eastAsia="zh-CN"/>
    </w:rPr>
  </w:style>
  <w:style w:type="paragraph" w:customStyle="1" w:styleId="104">
    <w:name w:val=" Char Char Char Char Char Char1 Char"/>
    <w:basedOn w:val="1"/>
    <w:uiPriority w:val="0"/>
    <w:pPr>
      <w:widowControl/>
      <w:spacing w:after="160" w:afterLines="0" w:afterAutospacing="0" w:line="240" w:lineRule="exact"/>
      <w:jc w:val="left"/>
    </w:pPr>
    <w:rPr>
      <w:rFonts w:ascii="Verdana" w:hAnsi="Verdana"/>
      <w:kern w:val="0"/>
      <w:sz w:val="21"/>
      <w:lang w:eastAsia="en-US"/>
    </w:rPr>
  </w:style>
  <w:style w:type="paragraph" w:customStyle="1" w:styleId="105">
    <w:name w:val="样式 标题 6第五层条 + 三号 段前: 0.5 行"/>
    <w:basedOn w:val="7"/>
    <w:uiPriority w:val="0"/>
    <w:pPr>
      <w:widowControl/>
      <w:numPr>
        <w:ilvl w:val="0"/>
        <w:numId w:val="0"/>
      </w:numPr>
      <w:adjustRightInd/>
      <w:snapToGrid/>
      <w:spacing w:before="156" w:beforeLines="50" w:beforeAutospacing="0"/>
      <w:ind w:left="1152" w:hanging="1152"/>
      <w:jc w:val="left"/>
    </w:pPr>
    <w:rPr>
      <w:snapToGrid w:val="0"/>
      <w:kern w:val="24"/>
      <w:sz w:val="28"/>
    </w:rPr>
  </w:style>
  <w:style w:type="paragraph" w:customStyle="1" w:styleId="106">
    <w:name w:val="标题无"/>
    <w:basedOn w:val="1"/>
    <w:uiPriority w:val="0"/>
    <w:pPr>
      <w:spacing w:line="360" w:lineRule="auto"/>
    </w:pPr>
    <w:rPr>
      <w:sz w:val="24"/>
    </w:rPr>
  </w:style>
  <w:style w:type="paragraph" w:customStyle="1" w:styleId="107">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08">
    <w:name w:val="style1"/>
    <w:basedOn w:val="1"/>
    <w:uiPriority w:val="0"/>
    <w:pPr>
      <w:widowControl/>
      <w:spacing w:before="100" w:beforeLines="0" w:beforeAutospacing="1" w:after="100" w:afterLines="0" w:afterAutospacing="1"/>
      <w:jc w:val="left"/>
    </w:pPr>
    <w:rPr>
      <w:rFonts w:ascii="宋体" w:hAnsi="宋体"/>
      <w:kern w:val="0"/>
      <w:sz w:val="21"/>
    </w:rPr>
  </w:style>
  <w:style w:type="paragraph" w:customStyle="1" w:styleId="109">
    <w:name w:val="Char Char Char Char"/>
    <w:basedOn w:val="1"/>
    <w:uiPriority w:val="0"/>
    <w:pPr>
      <w:pageBreakBefore/>
      <w:widowControl/>
      <w:spacing w:after="160" w:afterLines="0" w:line="240" w:lineRule="exact"/>
      <w:jc w:val="left"/>
    </w:pPr>
    <w:rPr>
      <w:rFonts w:ascii="Verdana" w:hAnsi="Verdana"/>
      <w:kern w:val="0"/>
      <w:sz w:val="20"/>
      <w:lang w:eastAsia="en-US"/>
    </w:rPr>
  </w:style>
  <w:style w:type="paragraph" w:customStyle="1" w:styleId="110">
    <w:name w:val="图标"/>
    <w:basedOn w:val="1"/>
    <w:next w:val="1"/>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111">
    <w:name w:val=" Char Char Char Char Char Char Char"/>
    <w:basedOn w:val="1"/>
    <w:uiPriority w:val="0"/>
    <w:pPr>
      <w:widowControl/>
      <w:spacing w:after="160" w:afterLines="0" w:line="240" w:lineRule="exact"/>
      <w:jc w:val="left"/>
    </w:pPr>
    <w:rPr>
      <w:rFonts w:ascii="Verdana" w:hAnsi="Verdana" w:eastAsia="仿宋_GB2312"/>
      <w:kern w:val="0"/>
      <w:sz w:val="24"/>
      <w:lang w:eastAsia="en-US"/>
    </w:rPr>
  </w:style>
  <w:style w:type="paragraph" w:customStyle="1" w:styleId="112">
    <w:name w:val="_"/>
    <w:basedOn w:val="1"/>
    <w:uiPriority w:val="0"/>
    <w:pPr>
      <w:adjustRightInd w:val="0"/>
      <w:spacing w:line="360" w:lineRule="auto"/>
      <w:ind w:left="480" w:firstLine="200" w:firstLineChars="200"/>
      <w:textAlignment w:val="baseline"/>
    </w:pPr>
    <w:rPr>
      <w:kern w:val="0"/>
      <w:sz w:val="24"/>
    </w:rPr>
  </w:style>
  <w:style w:type="paragraph" w:customStyle="1" w:styleId="113">
    <w:name w:val="附录4"/>
    <w:basedOn w:val="1"/>
    <w:next w:val="1"/>
    <w:uiPriority w:val="0"/>
    <w:pPr>
      <w:widowControl/>
      <w:numPr>
        <w:ilvl w:val="0"/>
        <w:numId w:val="0"/>
      </w:numPr>
      <w:tabs>
        <w:tab w:val="left" w:pos="1134"/>
      </w:tabs>
      <w:spacing w:line="300" w:lineRule="auto"/>
      <w:ind w:left="1361" w:hanging="1361"/>
      <w:outlineLvl w:val="3"/>
    </w:pPr>
    <w:rPr>
      <w:rFonts w:ascii="Arial" w:hAnsi="Arial" w:eastAsia="黑体"/>
      <w:kern w:val="0"/>
    </w:rPr>
  </w:style>
  <w:style w:type="paragraph" w:customStyle="1" w:styleId="114">
    <w:name w:val="文本框样式1"/>
    <w:basedOn w:val="1"/>
    <w:uiPriority w:val="0"/>
    <w:pPr>
      <w:adjustRightInd w:val="0"/>
      <w:snapToGrid w:val="0"/>
      <w:spacing w:before="60" w:beforeLines="0" w:beforeAutospacing="0" w:line="180" w:lineRule="exact"/>
      <w:jc w:val="center"/>
    </w:pPr>
    <w:rPr>
      <w:sz w:val="21"/>
    </w:rPr>
  </w:style>
  <w:style w:type="paragraph" w:customStyle="1" w:styleId="115">
    <w:name w:val="列表项目"/>
    <w:basedOn w:val="1"/>
    <w:uiPriority w:val="0"/>
    <w:pPr>
      <w:numPr>
        <w:ilvl w:val="0"/>
        <w:numId w:val="7"/>
      </w:numPr>
      <w:tabs>
        <w:tab w:val="left" w:pos="420"/>
        <w:tab w:val="clear" w:pos="980"/>
      </w:tabs>
      <w:spacing w:line="288" w:lineRule="auto"/>
      <w:ind w:left="840" w:leftChars="200" w:hanging="420" w:hangingChars="200"/>
    </w:pPr>
    <w:rPr>
      <w:sz w:val="21"/>
    </w:rPr>
  </w:style>
  <w:style w:type="paragraph" w:customStyle="1" w:styleId="116">
    <w:name w:val="xl27"/>
    <w:basedOn w:val="1"/>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17">
    <w:name w:val="章标题"/>
    <w:next w:val="1"/>
    <w:uiPriority w:val="0"/>
    <w:pPr>
      <w:numPr>
        <w:ilvl w:val="1"/>
        <w:numId w:val="8"/>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8">
    <w:name w:val=" Char1"/>
    <w:basedOn w:val="1"/>
    <w:uiPriority w:val="0"/>
    <w:rPr>
      <w:sz w:val="21"/>
    </w:rPr>
  </w:style>
  <w:style w:type="paragraph" w:customStyle="1" w:styleId="119">
    <w:name w:val="1.正文"/>
    <w:basedOn w:val="1"/>
    <w:uiPriority w:val="0"/>
    <w:pPr>
      <w:spacing w:line="360" w:lineRule="auto"/>
      <w:ind w:left="540" w:leftChars="225" w:firstLine="540" w:firstLineChars="225"/>
    </w:pPr>
    <w:rPr>
      <w:sz w:val="24"/>
    </w:rPr>
  </w:style>
  <w:style w:type="paragraph" w:customStyle="1" w:styleId="120">
    <w:name w:val="Table Tex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样式 首行缩进:  0.74 厘米"/>
    <w:basedOn w:val="1"/>
    <w:uiPriority w:val="0"/>
    <w:pPr>
      <w:spacing w:line="360" w:lineRule="auto"/>
      <w:ind w:firstLine="420"/>
    </w:pPr>
    <w:rPr>
      <w:sz w:val="24"/>
    </w:rPr>
  </w:style>
  <w:style w:type="paragraph" w:customStyle="1" w:styleId="122">
    <w:name w:val="Item Lis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23">
    <w:name w:val="标准正文"/>
    <w:basedOn w:val="23"/>
    <w:uiPriority w:val="0"/>
    <w:pPr>
      <w:spacing w:before="60" w:beforeLines="0" w:beforeAutospacing="0" w:after="60" w:afterLines="0" w:afterAutospacing="0" w:line="360" w:lineRule="auto"/>
      <w:ind w:left="0" w:firstLine="482"/>
    </w:pPr>
    <w:rPr>
      <w:rFonts w:ascii="Arial" w:hAnsi="Arial"/>
      <w:sz w:val="24"/>
    </w:rPr>
  </w:style>
  <w:style w:type="paragraph" w:customStyle="1" w:styleId="124">
    <w:name w:val="标题3——2"/>
    <w:basedOn w:val="4"/>
    <w:next w:val="56"/>
    <w:uiPriority w:val="0"/>
    <w:pPr>
      <w:tabs>
        <w:tab w:val="left" w:pos="1280"/>
        <w:tab w:val="right" w:leader="dot" w:pos="8777"/>
      </w:tabs>
      <w:spacing w:before="312" w:beforeLines="100" w:beforeAutospacing="0" w:after="0" w:afterLines="0" w:afterAutospacing="0" w:line="240" w:lineRule="auto"/>
      <w:ind w:left="851" w:hanging="851"/>
      <w:jc w:val="both"/>
      <w:outlineLvl w:val="9"/>
    </w:pPr>
    <w:rPr>
      <w:rFonts w:ascii="黑体" w:hAnsi="宋体" w:eastAsia="黑体"/>
      <w:sz w:val="30"/>
    </w:rPr>
  </w:style>
  <w:style w:type="paragraph" w:customStyle="1" w:styleId="125">
    <w:name w:val="二级列表"/>
    <w:basedOn w:val="126"/>
    <w:next w:val="126"/>
    <w:uiPriority w:val="0"/>
    <w:pPr>
      <w:tabs>
        <w:tab w:val="left" w:pos="2120"/>
      </w:tabs>
      <w:ind w:firstLine="0" w:firstLineChars="0"/>
    </w:pPr>
    <w:rPr>
      <w:b/>
    </w:rPr>
  </w:style>
  <w:style w:type="paragraph" w:customStyle="1" w:styleId="126">
    <w:name w:val="段落正文"/>
    <w:basedOn w:val="1"/>
    <w:uiPriority w:val="0"/>
    <w:pPr>
      <w:spacing w:before="156" w:beforeLines="50" w:beforeAutospacing="0" w:line="360" w:lineRule="auto"/>
      <w:ind w:firstLine="200" w:firstLineChars="200"/>
    </w:pPr>
    <w:rPr>
      <w:spacing w:val="2"/>
      <w:sz w:val="24"/>
    </w:rPr>
  </w:style>
  <w:style w:type="paragraph" w:customStyle="1" w:styleId="127">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128">
    <w:name w:val="文档正文 Char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29">
    <w:name w:val="简单回函地址"/>
    <w:basedOn w:val="1"/>
    <w:uiPriority w:val="0"/>
    <w:pPr>
      <w:adjustRightInd w:val="0"/>
      <w:snapToGrid w:val="0"/>
      <w:spacing w:line="360" w:lineRule="auto"/>
    </w:pPr>
    <w:rPr>
      <w:sz w:val="24"/>
    </w:rPr>
  </w:style>
  <w:style w:type="paragraph" w:customStyle="1" w:styleId="130">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1">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32">
    <w:name w:val="1"/>
    <w:basedOn w:val="1"/>
    <w:uiPriority w:val="0"/>
    <w:rPr>
      <w:rFonts w:ascii="Tahoma" w:hAnsi="Tahoma"/>
      <w:sz w:val="24"/>
    </w:rPr>
  </w:style>
  <w:style w:type="paragraph" w:customStyle="1" w:styleId="133">
    <w:name w:val="Title - Revision"/>
    <w:basedOn w:val="54"/>
    <w:uiPriority w:val="0"/>
    <w:pPr>
      <w:spacing w:before="720" w:beforeLines="0" w:beforeAutospacing="0"/>
    </w:pPr>
  </w:style>
  <w:style w:type="paragraph" w:customStyle="1" w:styleId="134">
    <w:name w:val="样式 样式 正文首行缩进 2 + 左  0 字符 + 首行缩进:  2.57 字符"/>
    <w:basedOn w:val="1"/>
    <w:next w:val="1"/>
    <w:uiPriority w:val="0"/>
    <w:pPr>
      <w:adjustRightInd w:val="0"/>
      <w:snapToGrid w:val="0"/>
      <w:spacing w:after="120" w:afterLines="0" w:afterAutospacing="0"/>
      <w:ind w:firstLine="540" w:firstLineChars="257"/>
    </w:pPr>
    <w:rPr>
      <w:sz w:val="21"/>
    </w:rPr>
  </w:style>
  <w:style w:type="paragraph" w:customStyle="1" w:styleId="135">
    <w:name w:val="样式1xz"/>
    <w:basedOn w:val="1"/>
    <w:uiPriority w:val="0"/>
    <w:pPr>
      <w:tabs>
        <w:tab w:val="left" w:pos="1050"/>
        <w:tab w:val="right" w:leader="dot" w:pos="8296"/>
      </w:tabs>
    </w:pPr>
    <w:rPr>
      <w:caps/>
      <w:spacing w:val="20"/>
      <w:sz w:val="24"/>
    </w:rPr>
  </w:style>
  <w:style w:type="paragraph" w:customStyle="1" w:styleId="136">
    <w:name w:val="Style Heading 3h3Heading 3 - oldLevel 3 HeadH3level_3PIM 3se..."/>
    <w:basedOn w:val="4"/>
    <w:uiPriority w:val="0"/>
    <w:pPr>
      <w:numPr>
        <w:ilvl w:val="2"/>
        <w:numId w:val="10"/>
      </w:numPr>
      <w:jc w:val="both"/>
    </w:pPr>
    <w:rPr>
      <w:sz w:val="32"/>
    </w:rPr>
  </w:style>
  <w:style w:type="paragraph" w:customStyle="1" w:styleId="137">
    <w:name w:val=" Char Char Char Char Char Char Char Char Char Char Char Char Char"/>
    <w:basedOn w:val="1"/>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38">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39">
    <w:name w:val="xl23"/>
    <w:basedOn w:val="1"/>
    <w:uiPriority w:val="0"/>
    <w:pPr>
      <w:widowControl/>
      <w:spacing w:before="100" w:beforeLines="0" w:beforeAutospacing="1" w:after="100" w:afterLines="0" w:afterAutospacing="1" w:line="360" w:lineRule="auto"/>
      <w:textAlignment w:val="top"/>
    </w:pPr>
    <w:rPr>
      <w:kern w:val="0"/>
      <w:sz w:val="24"/>
    </w:rPr>
  </w:style>
  <w:style w:type="paragraph" w:customStyle="1" w:styleId="140">
    <w:name w:val="Char"/>
    <w:basedOn w:val="1"/>
    <w:uiPriority w:val="0"/>
    <w:pPr>
      <w:widowControl/>
      <w:spacing w:line="400" w:lineRule="exact"/>
      <w:jc w:val="center"/>
    </w:pPr>
    <w:rPr>
      <w:sz w:val="24"/>
    </w:rPr>
  </w:style>
  <w:style w:type="paragraph" w:customStyle="1" w:styleId="141">
    <w:name w:val="文本1"/>
    <w:basedOn w:val="1"/>
    <w:uiPriority w:val="0"/>
    <w:pPr>
      <w:adjustRightInd w:val="0"/>
      <w:spacing w:line="312" w:lineRule="atLeast"/>
      <w:jc w:val="center"/>
      <w:textAlignment w:val="baseline"/>
    </w:pPr>
    <w:rPr>
      <w:kern w:val="0"/>
      <w:sz w:val="18"/>
    </w:rPr>
  </w:style>
  <w:style w:type="paragraph" w:customStyle="1" w:styleId="142">
    <w:name w:val="样式 标题 1 + 居中 段前: 6 磅 段后: 6 磅 行距: 1.5 倍行距"/>
    <w:basedOn w:val="2"/>
    <w:uiPriority w:val="0"/>
    <w:pPr>
      <w:keepLines/>
      <w:tabs>
        <w:tab w:val="clear" w:pos="3360"/>
      </w:tabs>
      <w:adjustRightInd w:val="0"/>
      <w:spacing w:before="120" w:beforeLines="0" w:beforeAutospacing="0" w:line="360" w:lineRule="auto"/>
    </w:pPr>
    <w:rPr>
      <w:rFonts w:eastAsia="宋体"/>
      <w:b/>
      <w:kern w:val="44"/>
      <w:sz w:val="32"/>
    </w:rPr>
  </w:style>
  <w:style w:type="paragraph" w:customStyle="1" w:styleId="143">
    <w:name w:val="00"/>
    <w:basedOn w:val="1"/>
    <w:uiPriority w:val="0"/>
    <w:pPr>
      <w:autoSpaceDE w:val="0"/>
      <w:autoSpaceDN w:val="0"/>
      <w:adjustRightInd w:val="0"/>
      <w:jc w:val="left"/>
    </w:pPr>
    <w:rPr>
      <w:rFonts w:ascii="黑体" w:eastAsia="黑体"/>
      <w:b/>
      <w:kern w:val="0"/>
      <w:sz w:val="20"/>
    </w:rPr>
  </w:style>
  <w:style w:type="paragraph" w:customStyle="1" w:styleId="144">
    <w:name w:val="图例"/>
    <w:basedOn w:val="1"/>
    <w:uiPriority w:val="0"/>
    <w:pPr>
      <w:spacing w:before="120" w:beforeLines="0" w:beforeAutospacing="0" w:after="120" w:afterLines="0" w:afterAutospacing="0" w:line="360" w:lineRule="auto"/>
      <w:jc w:val="center"/>
    </w:pPr>
    <w:rPr>
      <w:rFonts w:eastAsia="仿宋_GB2312"/>
      <w:b/>
      <w:sz w:val="24"/>
    </w:rPr>
  </w:style>
  <w:style w:type="paragraph" w:customStyle="1" w:styleId="145">
    <w:name w:val="content"/>
    <w:basedOn w:val="1"/>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146">
    <w:name w:val="样式 标题 1章标题Heading 0Section HeadPIM 1H1h11st levell11H1..."/>
    <w:basedOn w:val="2"/>
    <w:uiPriority w:val="0"/>
    <w:pPr>
      <w:keepLines/>
      <w:pageBreakBefore/>
      <w:tabs>
        <w:tab w:val="left" w:pos="432"/>
        <w:tab w:val="clear" w:pos="3360"/>
      </w:tabs>
      <w:autoSpaceDE w:val="0"/>
      <w:autoSpaceDN w:val="0"/>
      <w:adjustRightInd w:val="0"/>
      <w:spacing w:before="340" w:beforeLines="0" w:beforeAutospacing="0" w:after="330" w:afterLines="0" w:afterAutospacing="0" w:line="578" w:lineRule="atLeast"/>
      <w:jc w:val="both"/>
      <w:textAlignment w:val="bottom"/>
    </w:pPr>
    <w:rPr>
      <w:rFonts w:ascii="宋体" w:hAnsi="宋体"/>
      <w:b/>
      <w:kern w:val="44"/>
      <w:sz w:val="36"/>
    </w:rPr>
  </w:style>
  <w:style w:type="paragraph" w:customStyle="1" w:styleId="147">
    <w:name w:val="样式3"/>
    <w:basedOn w:val="2"/>
    <w:next w:val="2"/>
    <w:qFormat/>
    <w:uiPriority w:val="0"/>
    <w:pPr>
      <w:keepLines/>
      <w:tabs>
        <w:tab w:val="clear" w:pos="3360"/>
      </w:tabs>
      <w:adjustRightInd w:val="0"/>
      <w:spacing w:before="340" w:beforeLines="0" w:beforeAutospacing="0" w:after="330" w:afterLines="0" w:afterAutospacing="0" w:line="576" w:lineRule="auto"/>
      <w:jc w:val="both"/>
    </w:pPr>
    <w:rPr>
      <w:b/>
      <w:kern w:val="44"/>
    </w:rPr>
  </w:style>
  <w:style w:type="paragraph" w:customStyle="1" w:styleId="148">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149">
    <w:name w:val=" Char1 Char Char Char"/>
    <w:basedOn w:val="1"/>
    <w:uiPriority w:val="0"/>
    <w:rPr>
      <w:rFonts w:ascii="Tahoma" w:hAnsi="Tahoma"/>
      <w:sz w:val="24"/>
    </w:rPr>
  </w:style>
  <w:style w:type="paragraph" w:customStyle="1" w:styleId="150">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151">
    <w:name w:val="bt"/>
    <w:basedOn w:val="1"/>
    <w:next w:val="22"/>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152">
    <w:name w:val="操作步骤"/>
    <w:basedOn w:val="1"/>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53">
    <w:name w:val="样式1"/>
    <w:basedOn w:val="5"/>
    <w:uiPriority w:val="0"/>
    <w:pPr>
      <w:spacing w:before="500" w:after="260" w:line="560" w:lineRule="atLeast"/>
    </w:pPr>
  </w:style>
  <w:style w:type="paragraph" w:customStyle="1" w:styleId="154">
    <w:name w:val=" Char"/>
    <w:basedOn w:val="1"/>
    <w:uiPriority w:val="0"/>
    <w:pPr>
      <w:spacing w:line="240" w:lineRule="atLeast"/>
      <w:ind w:left="420" w:firstLine="420"/>
    </w:pPr>
    <w:rPr>
      <w:kern w:val="0"/>
      <w:sz w:val="21"/>
    </w:rPr>
  </w:style>
  <w:style w:type="paragraph" w:customStyle="1" w:styleId="155">
    <w:name w:val="正文格式 Char"/>
    <w:basedOn w:val="1"/>
    <w:uiPriority w:val="0"/>
    <w:pPr>
      <w:widowControl/>
      <w:adjustRightInd w:val="0"/>
      <w:spacing w:line="440" w:lineRule="atLeast"/>
      <w:ind w:firstLine="510"/>
      <w:textAlignment w:val="baseline"/>
    </w:pPr>
    <w:rPr>
      <w:kern w:val="0"/>
      <w:sz w:val="24"/>
    </w:rPr>
  </w:style>
  <w:style w:type="paragraph" w:customStyle="1" w:styleId="156">
    <w:name w:val="没有缩进（为图形使用）"/>
    <w:basedOn w:val="1"/>
    <w:uiPriority w:val="0"/>
    <w:pPr>
      <w:spacing w:before="120" w:beforeLines="0" w:beforeAutospacing="0" w:after="120" w:afterLines="0" w:afterAutospacing="0" w:line="360" w:lineRule="auto"/>
    </w:pPr>
    <w:rPr>
      <w:sz w:val="24"/>
    </w:rPr>
  </w:style>
  <w:style w:type="paragraph" w:customStyle="1" w:styleId="157">
    <w:name w:val="样式 宋体 五号 行距: 单倍行距"/>
    <w:basedOn w:val="1"/>
    <w:uiPriority w:val="0"/>
    <w:pPr>
      <w:adjustRightInd w:val="0"/>
      <w:jc w:val="left"/>
    </w:pPr>
    <w:rPr>
      <w:rFonts w:ascii="宋体" w:hAnsi="宋体"/>
      <w:kern w:val="0"/>
      <w:sz w:val="21"/>
    </w:rPr>
  </w:style>
  <w:style w:type="paragraph" w:customStyle="1" w:styleId="158">
    <w:name w:val="xl53"/>
    <w:basedOn w:val="1"/>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59">
    <w:name w:val="摘要"/>
    <w:basedOn w:val="1"/>
    <w:next w:val="3"/>
    <w:uiPriority w:val="0"/>
    <w:pPr>
      <w:spacing w:line="360" w:lineRule="auto"/>
    </w:pPr>
    <w:rPr>
      <w:rFonts w:eastAsia="黑体"/>
      <w:sz w:val="20"/>
    </w:rPr>
  </w:style>
  <w:style w:type="paragraph" w:customStyle="1" w:styleId="160">
    <w:name w:val="图片文字"/>
    <w:basedOn w:val="1"/>
    <w:uiPriority w:val="0"/>
    <w:pPr>
      <w:spacing w:line="240" w:lineRule="atLeast"/>
      <w:jc w:val="center"/>
    </w:pPr>
    <w:rPr>
      <w:sz w:val="21"/>
    </w:rPr>
  </w:style>
  <w:style w:type="paragraph" w:customStyle="1" w:styleId="161">
    <w:name w:val="首行缩进 1"/>
    <w:basedOn w:val="1"/>
    <w:uiPriority w:val="0"/>
    <w:pPr>
      <w:spacing w:after="120" w:afterLines="0" w:afterAutospacing="0" w:line="360" w:lineRule="auto"/>
      <w:ind w:firstLine="200" w:firstLineChars="200"/>
    </w:pPr>
    <w:rPr>
      <w:sz w:val="24"/>
    </w:rPr>
  </w:style>
  <w:style w:type="paragraph" w:customStyle="1" w:styleId="162">
    <w:name w:val="正文4"/>
    <w:basedOn w:val="1"/>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163">
    <w:name w:val="表号"/>
    <w:basedOn w:val="1"/>
    <w:uiPriority w:val="0"/>
    <w:pPr>
      <w:numPr>
        <w:ilvl w:val="0"/>
        <w:numId w:val="12"/>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4">
    <w:name w:val="Body Text 2"/>
    <w:basedOn w:val="1"/>
    <w:uiPriority w:val="0"/>
    <w:pPr>
      <w:adjustRightInd w:val="0"/>
      <w:spacing w:before="120" w:beforeLines="0" w:beforeAutospacing="0" w:line="360" w:lineRule="auto"/>
      <w:ind w:firstLine="480"/>
      <w:textAlignment w:val="baseline"/>
    </w:pPr>
    <w:rPr>
      <w:sz w:val="24"/>
    </w:rPr>
  </w:style>
  <w:style w:type="paragraph" w:customStyle="1" w:styleId="165">
    <w:name w:val="Table Text Char Char Char"/>
    <w:uiPriority w:val="0"/>
    <w:pPr>
      <w:snapToGrid w:val="0"/>
      <w:spacing w:before="80" w:after="80"/>
    </w:pPr>
    <w:rPr>
      <w:rFonts w:ascii="Arial" w:hAnsi="Arial" w:eastAsia="宋体" w:cs="Times New Roman"/>
      <w:kern w:val="2"/>
      <w:sz w:val="18"/>
      <w:lang w:val="en-US" w:eastAsia="zh-CN" w:bidi="ar-SA"/>
    </w:rPr>
  </w:style>
  <w:style w:type="paragraph" w:customStyle="1" w:styleId="166">
    <w:name w:val="表格文本"/>
    <w:uiPriority w:val="0"/>
    <w:pPr>
      <w:tabs>
        <w:tab w:val="decimal" w:pos="0"/>
      </w:tabs>
    </w:pPr>
    <w:rPr>
      <w:rFonts w:ascii="Arial" w:hAnsi="Arial" w:eastAsia="宋体" w:cs="Times New Roman"/>
      <w:sz w:val="21"/>
      <w:lang w:val="en-US" w:eastAsia="zh-CN" w:bidi="ar-SA"/>
    </w:rPr>
  </w:style>
  <w:style w:type="paragraph" w:customStyle="1" w:styleId="167">
    <w:name w:val="默认段落字体 Para Char Char Char Char Char Char Char Char Char1 Char Char Char Char"/>
    <w:basedOn w:val="1"/>
    <w:uiPriority w:val="0"/>
    <w:rPr>
      <w:rFonts w:ascii="Tahoma" w:hAnsi="Tahoma"/>
      <w:sz w:val="24"/>
    </w:rPr>
  </w:style>
  <w:style w:type="paragraph" w:customStyle="1" w:styleId="168">
    <w:name w:val="样式 正文首行缩进 2 + 首行缩进:  2 字符"/>
    <w:basedOn w:val="1"/>
    <w:uiPriority w:val="0"/>
    <w:pPr>
      <w:numPr>
        <w:ilvl w:val="0"/>
        <w:numId w:val="13"/>
      </w:numPr>
      <w:adjustRightInd w:val="0"/>
      <w:snapToGrid w:val="0"/>
      <w:spacing w:line="360" w:lineRule="auto"/>
    </w:pPr>
    <w:rPr>
      <w:rFonts w:ascii="Arial" w:hAnsi="Arial"/>
      <w:b/>
      <w:sz w:val="24"/>
    </w:rPr>
  </w:style>
  <w:style w:type="paragraph" w:customStyle="1" w:styleId="169">
    <w:name w:val="tabletext"/>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0">
    <w:name w:val="样式 行距: 1.5 倍行距1"/>
    <w:basedOn w:val="1"/>
    <w:uiPriority w:val="0"/>
    <w:pPr>
      <w:snapToGrid w:val="0"/>
    </w:pPr>
    <w:rPr>
      <w:sz w:val="21"/>
    </w:rPr>
  </w:style>
  <w:style w:type="paragraph" w:customStyle="1" w:styleId="171">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72">
    <w:name w:val="内容标题"/>
    <w:basedOn w:val="17"/>
    <w:uiPriority w:val="0"/>
    <w:rPr>
      <w:rFonts w:ascii="Tahoma" w:hAnsi="Tahoma"/>
      <w:sz w:val="24"/>
    </w:rPr>
  </w:style>
  <w:style w:type="paragraph" w:customStyle="1" w:styleId="173">
    <w:name w:val="样式2"/>
    <w:basedOn w:val="5"/>
    <w:uiPriority w:val="0"/>
    <w:pPr>
      <w:numPr>
        <w:ilvl w:val="0"/>
        <w:numId w:val="14"/>
      </w:numPr>
      <w:spacing w:line="400" w:lineRule="exact"/>
      <w:jc w:val="center"/>
      <w:outlineLvl w:val="0"/>
    </w:pPr>
    <w:rPr>
      <w:b w:val="0"/>
      <w:sz w:val="44"/>
    </w:rPr>
  </w:style>
  <w:style w:type="paragraph" w:customStyle="1" w:styleId="174">
    <w:name w:val="标题2"/>
    <w:basedOn w:val="3"/>
    <w:uiPriority w:val="0"/>
    <w:pPr>
      <w:keepNext w:val="0"/>
      <w:keepLines w:val="0"/>
      <w:snapToGrid w:val="0"/>
      <w:spacing w:before="0" w:beforeLines="0" w:beforeAutospacing="0" w:after="0" w:afterLines="0" w:afterAutospacing="0"/>
      <w:ind w:firstLine="574" w:firstLineChars="196"/>
      <w:outlineLvl w:val="9"/>
    </w:pPr>
    <w:rPr>
      <w:b/>
      <w:spacing w:val="6"/>
      <w:u w:val="single"/>
    </w:rPr>
  </w:style>
  <w:style w:type="paragraph" w:customStyle="1" w:styleId="175">
    <w:name w:val="IN Feature"/>
    <w:next w:val="96"/>
    <w:uiPriority w:val="0"/>
    <w:pPr>
      <w:keepNext/>
      <w:keepLines/>
      <w:spacing w:before="240" w:after="240"/>
      <w:outlineLvl w:val="7"/>
    </w:pPr>
    <w:rPr>
      <w:rFonts w:ascii="Arial" w:hAnsi="Arial" w:eastAsia="黑体" w:cs="Times New Roman"/>
      <w:sz w:val="21"/>
      <w:lang w:val="en-US" w:eastAsia="zh-CN" w:bidi="ar-SA"/>
    </w:rPr>
  </w:style>
  <w:style w:type="paragraph" w:customStyle="1" w:styleId="176">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7">
    <w:name w:val=" Char Char1 Char"/>
    <w:basedOn w:val="1"/>
    <w:uiPriority w:val="0"/>
    <w:rPr>
      <w:rFonts w:ascii="Tahoma" w:hAnsi="Tahoma"/>
      <w:sz w:val="24"/>
      <w:szCs w:val="24"/>
    </w:rPr>
  </w:style>
  <w:style w:type="paragraph" w:customStyle="1" w:styleId="178">
    <w:name w:val="Title - Date"/>
    <w:basedOn w:val="54"/>
    <w:next w:val="1"/>
    <w:uiPriority w:val="0"/>
    <w:pPr>
      <w:spacing w:before="240" w:beforeLines="0" w:beforeAutospacing="0" w:after="720" w:afterLines="0" w:afterAutospacing="0"/>
    </w:pPr>
    <w:rPr>
      <w:sz w:val="28"/>
    </w:rPr>
  </w:style>
  <w:style w:type="paragraph" w:customStyle="1" w:styleId="179">
    <w:name w:val="Char Char1 Char Char Char Char Char Char Char Char"/>
    <w:basedOn w:val="1"/>
    <w:uiPriority w:val="0"/>
    <w:pPr>
      <w:widowControl/>
      <w:spacing w:after="160" w:afterLines="0" w:line="240" w:lineRule="exact"/>
      <w:jc w:val="left"/>
    </w:pPr>
    <w:rPr>
      <w:rFonts w:ascii="Verdana" w:hAnsi="Verdana"/>
      <w:kern w:val="0"/>
      <w:sz w:val="20"/>
      <w:lang w:eastAsia="en-US"/>
    </w:rPr>
  </w:style>
  <w:style w:type="paragraph" w:customStyle="1" w:styleId="180">
    <w:name w:val="文章正文"/>
    <w:basedOn w:val="1"/>
    <w:uiPriority w:val="0"/>
    <w:pPr>
      <w:ind w:firstLine="560" w:firstLineChars="200"/>
    </w:pPr>
    <w:rPr>
      <w:rFonts w:ascii="仿宋_GB2312" w:hAnsi="宋体" w:eastAsia="仿宋_GB2312"/>
      <w:color w:val="000000"/>
    </w:rPr>
  </w:style>
  <w:style w:type="paragraph" w:customStyle="1" w:styleId="181">
    <w:name w:val=" Char Char Char"/>
    <w:basedOn w:val="1"/>
    <w:uiPriority w:val="0"/>
    <w:rPr>
      <w:rFonts w:ascii="Tahoma" w:hAnsi="Tahoma"/>
      <w:sz w:val="24"/>
    </w:rPr>
  </w:style>
  <w:style w:type="paragraph" w:customStyle="1" w:styleId="182">
    <w:name w:val="样式4"/>
    <w:basedOn w:val="5"/>
    <w:uiPriority w:val="0"/>
    <w:pPr>
      <w:numPr>
        <w:ilvl w:val="0"/>
        <w:numId w:val="0"/>
      </w:numPr>
      <w:adjustRightInd w:val="0"/>
      <w:snapToGrid w:val="0"/>
      <w:spacing w:before="280" w:beforeLines="0" w:beforeAutospacing="0" w:line="372" w:lineRule="auto"/>
    </w:pPr>
  </w:style>
  <w:style w:type="paragraph" w:customStyle="1" w:styleId="183">
    <w:name w:val="普通正文"/>
    <w:basedOn w:val="1"/>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184">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85">
    <w:name w:val="正文（首行不缩进）"/>
    <w:basedOn w:val="1"/>
    <w:uiPriority w:val="0"/>
    <w:pPr>
      <w:autoSpaceDE w:val="0"/>
      <w:autoSpaceDN w:val="0"/>
      <w:adjustRightInd w:val="0"/>
      <w:spacing w:line="360" w:lineRule="auto"/>
      <w:jc w:val="left"/>
    </w:pPr>
    <w:rPr>
      <w:kern w:val="0"/>
      <w:sz w:val="21"/>
    </w:rPr>
  </w:style>
  <w:style w:type="paragraph" w:customStyle="1" w:styleId="186">
    <w:name w:val="Item Step in Table"/>
    <w:uiPriority w:val="0"/>
    <w:pPr>
      <w:numPr>
        <w:ilvl w:val="0"/>
        <w:numId w:val="15"/>
      </w:numPr>
      <w:spacing w:before="40" w:after="40"/>
      <w:jc w:val="both"/>
    </w:pPr>
    <w:rPr>
      <w:rFonts w:ascii="Arial" w:hAnsi="Arial" w:eastAsia="宋体" w:cs="Times New Roman"/>
      <w:sz w:val="18"/>
      <w:lang w:val="en-US" w:eastAsia="zh-CN" w:bidi="ar-SA"/>
    </w:rPr>
  </w:style>
  <w:style w:type="paragraph" w:customStyle="1" w:styleId="187">
    <w:name w:val="_Style 186"/>
    <w:uiPriority w:val="0"/>
    <w:rPr>
      <w:rFonts w:ascii="Times New Roman" w:hAnsi="Times New Roman" w:eastAsia="宋体" w:cs="Times New Roman"/>
      <w:kern w:val="2"/>
      <w:sz w:val="21"/>
      <w:lang w:val="en-US" w:eastAsia="zh-CN" w:bidi="ar-SA"/>
    </w:rPr>
  </w:style>
  <w:style w:type="paragraph" w:customStyle="1" w:styleId="188">
    <w:name w:val="附录1"/>
    <w:basedOn w:val="1"/>
    <w:next w:val="1"/>
    <w:uiPriority w:val="0"/>
    <w:pPr>
      <w:tabs>
        <w:tab w:val="left" w:pos="1304"/>
      </w:tabs>
      <w:ind w:left="425" w:hanging="425"/>
      <w:outlineLvl w:val="0"/>
    </w:pPr>
    <w:rPr>
      <w:rFonts w:ascii="黑体" w:hAnsi="黑体" w:eastAsia="黑体"/>
      <w:b/>
      <w:sz w:val="44"/>
    </w:rPr>
  </w:style>
  <w:style w:type="paragraph" w:customStyle="1" w:styleId="189">
    <w:name w:val=" Char Char Char Char Char"/>
    <w:basedOn w:val="1"/>
    <w:uiPriority w:val="0"/>
    <w:pPr>
      <w:numPr>
        <w:ilvl w:val="0"/>
        <w:numId w:val="10"/>
      </w:numPr>
    </w:pPr>
    <w:rPr>
      <w:rFonts w:ascii="Tahoma" w:hAnsi="Tahoma"/>
      <w:sz w:val="24"/>
    </w:rPr>
  </w:style>
  <w:style w:type="paragraph" w:customStyle="1" w:styleId="190">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91">
    <w:name w:val="表格内文字"/>
    <w:basedOn w:val="31"/>
    <w:uiPriority w:val="0"/>
    <w:pPr>
      <w:snapToGrid/>
      <w:spacing w:line="240" w:lineRule="auto"/>
    </w:pPr>
    <w:rPr>
      <w:color w:val="000000"/>
      <w:lang w:val="en-GB"/>
    </w:rPr>
  </w:style>
  <w:style w:type="paragraph" w:customStyle="1" w:styleId="192">
    <w:name w:val="正文1"/>
    <w:basedOn w:val="1"/>
    <w:uiPriority w:val="0"/>
    <w:pPr>
      <w:spacing w:line="300" w:lineRule="auto"/>
      <w:ind w:firstLine="200" w:firstLineChars="200"/>
    </w:pPr>
    <w:rPr>
      <w:sz w:val="24"/>
    </w:rPr>
  </w:style>
  <w:style w:type="paragraph" w:customStyle="1" w:styleId="193">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194">
    <w:name w:val=" Char Char1"/>
    <w:basedOn w:val="1"/>
    <w:uiPriority w:val="0"/>
    <w:pPr>
      <w:widowControl/>
      <w:spacing w:after="160" w:afterLines="0" w:afterAutospacing="0" w:line="240" w:lineRule="exact"/>
      <w:jc w:val="left"/>
    </w:pPr>
    <w:rPr>
      <w:rFonts w:ascii="Verdana" w:hAnsi="Verdana"/>
      <w:kern w:val="0"/>
      <w:sz w:val="20"/>
      <w:lang w:eastAsia="en-US"/>
    </w:rPr>
  </w:style>
  <w:style w:type="paragraph" w:customStyle="1" w:styleId="195">
    <w:name w:val="表文字"/>
    <w:uiPriority w:val="0"/>
    <w:rPr>
      <w:rFonts w:ascii="宋体" w:hAnsi="Times New Roman" w:eastAsia="宋体" w:cs="Times New Roman"/>
      <w:kern w:val="2"/>
      <w:lang w:val="en-US" w:eastAsia="zh-CN" w:bidi="ar-SA"/>
    </w:rPr>
  </w:style>
  <w:style w:type="paragraph" w:customStyle="1" w:styleId="196">
    <w:name w:val="可研正文"/>
    <w:basedOn w:val="22"/>
    <w:uiPriority w:val="0"/>
    <w:pPr>
      <w:adjustRightInd w:val="0"/>
      <w:snapToGrid w:val="0"/>
      <w:spacing w:line="440" w:lineRule="exact"/>
      <w:ind w:firstLine="567"/>
    </w:pPr>
    <w:rPr>
      <w:sz w:val="28"/>
    </w:rPr>
  </w:style>
  <w:style w:type="paragraph" w:customStyle="1" w:styleId="197">
    <w:name w:val="CSS1级正文 Char"/>
    <w:basedOn w:val="22"/>
    <w:uiPriority w:val="0"/>
    <w:pPr>
      <w:adjustRightInd w:val="0"/>
      <w:snapToGrid w:val="0"/>
      <w:spacing w:line="360" w:lineRule="auto"/>
      <w:ind w:firstLine="480"/>
    </w:pPr>
    <w:rPr>
      <w:rFonts w:ascii="Times New Roman" w:eastAsia="宋体"/>
      <w:sz w:val="24"/>
    </w:rPr>
  </w:style>
  <w:style w:type="paragraph" w:customStyle="1" w:styleId="198">
    <w:name w:val="正文 + 三号"/>
    <w:basedOn w:val="1"/>
    <w:uiPriority w:val="0"/>
    <w:rPr>
      <w:rFonts w:eastAsia="宋体"/>
      <w:kern w:val="2"/>
      <w:sz w:val="21"/>
      <w:lang w:val="en-US" w:eastAsia="zh-CN"/>
    </w:rPr>
  </w:style>
  <w:style w:type="paragraph" w:customStyle="1" w:styleId="199">
    <w:name w:val="表头文本"/>
    <w:uiPriority w:val="0"/>
    <w:pPr>
      <w:jc w:val="center"/>
    </w:pPr>
    <w:rPr>
      <w:rFonts w:ascii="Arial" w:hAnsi="Arial" w:eastAsia="宋体" w:cs="Times New Roman"/>
      <w:b/>
      <w:sz w:val="21"/>
      <w:lang w:val="en-US" w:eastAsia="zh-CN" w:bidi="ar-SA"/>
    </w:rPr>
  </w:style>
  <w:style w:type="paragraph" w:customStyle="1" w:styleId="200">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201">
    <w:name w:val="Table Contents"/>
    <w:basedOn w:val="22"/>
    <w:uiPriority w:val="0"/>
    <w:pPr>
      <w:suppressAutoHyphens/>
      <w:jc w:val="left"/>
    </w:pPr>
    <w:rPr>
      <w:rFonts w:ascii="Times New Roman" w:eastAsia="Times New Roman"/>
      <w:kern w:val="0"/>
      <w:sz w:val="24"/>
    </w:rPr>
  </w:style>
  <w:style w:type="paragraph" w:customStyle="1" w:styleId="202">
    <w:name w:val=" Char Char 字元 字元 字元 Char Char Char Char"/>
    <w:basedOn w:val="1"/>
    <w:uiPriority w:val="0"/>
    <w:pPr>
      <w:adjustRightInd w:val="0"/>
      <w:spacing w:line="360" w:lineRule="auto"/>
    </w:pPr>
    <w:rPr>
      <w:kern w:val="0"/>
      <w:sz w:val="24"/>
    </w:rPr>
  </w:style>
  <w:style w:type="paragraph" w:customStyle="1" w:styleId="203">
    <w:name w:val="Char Char Char Char Char Char Char"/>
    <w:basedOn w:val="17"/>
    <w:uiPriority w:val="0"/>
    <w:rPr>
      <w:rFonts w:ascii="宋体" w:hAnsi="Tahoma"/>
    </w:rPr>
  </w:style>
  <w:style w:type="paragraph" w:customStyle="1" w:styleId="204">
    <w:name w:val=" Char Char1 Char Char Char Char Char Char Char Char Char Char Char Char Char Char"/>
    <w:basedOn w:val="1"/>
    <w:uiPriority w:val="0"/>
    <w:pPr>
      <w:widowControl/>
      <w:spacing w:after="160" w:afterLines="0" w:afterAutospacing="0" w:line="240" w:lineRule="exact"/>
      <w:jc w:val="left"/>
    </w:pPr>
    <w:rPr>
      <w:rFonts w:ascii="Verdana" w:hAnsi="Verdana"/>
      <w:kern w:val="0"/>
      <w:sz w:val="20"/>
      <w:lang w:eastAsia="en-US"/>
    </w:rPr>
  </w:style>
  <w:style w:type="paragraph" w:customStyle="1" w:styleId="205">
    <w:name w:val="附录3"/>
    <w:basedOn w:val="1"/>
    <w:next w:val="1"/>
    <w:uiPriority w:val="0"/>
    <w:pPr>
      <w:numPr>
        <w:ilvl w:val="0"/>
        <w:numId w:val="0"/>
      </w:numPr>
      <w:tabs>
        <w:tab w:val="left" w:pos="851"/>
      </w:tabs>
      <w:ind w:left="425" w:hanging="425"/>
      <w:outlineLvl w:val="2"/>
    </w:pPr>
    <w:rPr>
      <w:rFonts w:eastAsia="黑体"/>
      <w:b/>
      <w:sz w:val="32"/>
    </w:rPr>
  </w:style>
  <w:style w:type="paragraph" w:customStyle="1" w:styleId="206">
    <w:name w:val="表头样式"/>
    <w:basedOn w:val="1"/>
    <w:uiPriority w:val="0"/>
    <w:pPr>
      <w:autoSpaceDE w:val="0"/>
      <w:autoSpaceDN w:val="0"/>
      <w:adjustRightInd w:val="0"/>
      <w:spacing w:line="360" w:lineRule="auto"/>
      <w:jc w:val="left"/>
    </w:pPr>
    <w:rPr>
      <w:b/>
      <w:kern w:val="0"/>
      <w:sz w:val="21"/>
    </w:rPr>
  </w:style>
  <w:style w:type="paragraph" w:customStyle="1" w:styleId="207">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208">
    <w:name w:val="xl40"/>
    <w:basedOn w:val="1"/>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209">
    <w:name w:val="样式 正文缩进正文（首行缩进两字）表正文正文非缩进特点标题4段1 + 首行缩进:  2 字符"/>
    <w:basedOn w:val="15"/>
    <w:uiPriority w:val="0"/>
    <w:pPr>
      <w:ind w:firstLine="480" w:firstLineChars="200"/>
    </w:pPr>
  </w:style>
  <w:style w:type="paragraph" w:customStyle="1" w:styleId="210">
    <w:name w:val="Note"/>
    <w:basedOn w:val="1"/>
    <w:uiPriority w:val="0"/>
    <w:pPr>
      <w:pBdr>
        <w:top w:val="single" w:color="auto" w:sz="12" w:space="3"/>
        <w:bottom w:val="single" w:color="auto" w:sz="12" w:space="3"/>
      </w:pBdr>
      <w:spacing w:line="360" w:lineRule="auto"/>
    </w:pPr>
    <w:rPr>
      <w:sz w:val="24"/>
    </w:rPr>
  </w:style>
  <w:style w:type="paragraph" w:customStyle="1" w:styleId="211">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2">
    <w:name w:val="首行缩进"/>
    <w:basedOn w:val="1"/>
    <w:uiPriority w:val="0"/>
    <w:pPr>
      <w:spacing w:line="360" w:lineRule="auto"/>
      <w:ind w:firstLine="420" w:firstLineChars="200"/>
    </w:pPr>
    <w:rPr>
      <w:sz w:val="21"/>
    </w:rPr>
  </w:style>
  <w:style w:type="paragraph" w:customStyle="1" w:styleId="213">
    <w:name w:val="Body Text Indent 2"/>
    <w:basedOn w:val="1"/>
    <w:uiPriority w:val="0"/>
    <w:pPr>
      <w:adjustRightInd w:val="0"/>
      <w:spacing w:before="120" w:beforeLines="0" w:beforeAutospacing="0"/>
      <w:ind w:firstLine="420"/>
      <w:textAlignment w:val="baseline"/>
    </w:pPr>
    <w:rPr>
      <w:sz w:val="24"/>
    </w:rPr>
  </w:style>
  <w:style w:type="paragraph" w:customStyle="1" w:styleId="214">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215">
    <w:name w:val="home"/>
    <w:basedOn w:val="1"/>
    <w:uiPriority w:val="0"/>
    <w:pPr>
      <w:widowControl/>
      <w:spacing w:before="100" w:beforeAutospacing="1" w:after="100" w:afterAutospacing="1"/>
      <w:jc w:val="left"/>
    </w:pPr>
    <w:rPr>
      <w:rFonts w:ascii="宋体" w:hAnsi="宋体" w:cs="宋体"/>
      <w:kern w:val="0"/>
      <w:sz w:val="24"/>
      <w:szCs w:val="24"/>
    </w:rPr>
  </w:style>
  <w:style w:type="paragraph" w:styleId="216">
    <w:name w:val="List Paragraph"/>
    <w:basedOn w:val="1"/>
    <w:link w:val="217"/>
    <w:qFormat/>
    <w:uiPriority w:val="34"/>
    <w:pPr>
      <w:spacing w:line="360" w:lineRule="auto"/>
      <w:ind w:firstLine="420" w:firstLineChars="200"/>
    </w:pPr>
    <w:rPr>
      <w:rFonts w:ascii="Arial" w:hAnsi="Arial"/>
      <w:sz w:val="24"/>
    </w:rPr>
  </w:style>
  <w:style w:type="character" w:customStyle="1" w:styleId="217">
    <w:name w:val="列出段落 Char"/>
    <w:link w:val="216"/>
    <w:qFormat/>
    <w:uiPriority w:val="34"/>
    <w:rPr>
      <w:rFonts w:ascii="Arial" w:hAnsi="Arial"/>
      <w:kern w:val="2"/>
      <w:sz w:val="24"/>
    </w:rPr>
  </w:style>
  <w:style w:type="character" w:customStyle="1" w:styleId="218">
    <w:name w:val="样式 正文缩进 + 首行缩进:  2 字符 Char"/>
    <w:link w:val="219"/>
    <w:qFormat/>
    <w:uiPriority w:val="0"/>
    <w:rPr>
      <w:rFonts w:cs="宋体"/>
      <w:kern w:val="2"/>
      <w:sz w:val="24"/>
    </w:rPr>
  </w:style>
  <w:style w:type="paragraph" w:customStyle="1" w:styleId="219">
    <w:name w:val="样式 正文缩进 + 首行缩进:  2 字符"/>
    <w:basedOn w:val="15"/>
    <w:link w:val="218"/>
    <w:qFormat/>
    <w:uiPriority w:val="0"/>
    <w:pPr>
      <w:adjustRightInd/>
      <w:snapToGrid/>
      <w:ind w:firstLine="200" w:firstLineChars="200"/>
    </w:pPr>
  </w:style>
  <w:style w:type="character" w:customStyle="1" w:styleId="220">
    <w:name w:val="方案正文 Char"/>
    <w:link w:val="221"/>
    <w:qFormat/>
    <w:locked/>
    <w:uiPriority w:val="0"/>
    <w:rPr>
      <w:rFonts w:ascii="华文细黑" w:hAnsi="华文细黑" w:eastAsia="华文细黑"/>
      <w:sz w:val="24"/>
      <w:szCs w:val="24"/>
    </w:rPr>
  </w:style>
  <w:style w:type="paragraph" w:customStyle="1" w:styleId="221">
    <w:name w:val="方案正文"/>
    <w:basedOn w:val="1"/>
    <w:link w:val="220"/>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222">
    <w:name w:val="列表段落2"/>
    <w:basedOn w:val="1"/>
    <w:qFormat/>
    <w:uiPriority w:val="99"/>
    <w:pPr>
      <w:ind w:firstLine="420" w:firstLineChars="200"/>
    </w:pPr>
    <w:rPr>
      <w:sz w:val="21"/>
    </w:rPr>
  </w:style>
  <w:style w:type="paragraph" w:customStyle="1" w:styleId="223">
    <w:name w:val="列表段落1"/>
    <w:basedOn w:val="1"/>
    <w:qFormat/>
    <w:uiPriority w:val="0"/>
    <w:pPr>
      <w:spacing w:line="360" w:lineRule="auto"/>
      <w:ind w:firstLine="420" w:firstLineChars="200"/>
    </w:pPr>
    <w:rPr>
      <w:rFonts w:hint="eastAsia"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3580</Words>
  <Characters>20412</Characters>
  <Lines>170</Lines>
  <Paragraphs>47</Paragraphs>
  <TotalTime>0</TotalTime>
  <ScaleCrop>false</ScaleCrop>
  <LinksUpToDate>false</LinksUpToDate>
  <CharactersWithSpaces>23945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2021-06-01T09:31:00Z</dcterms:created>
  <dc:creator>admin</dc:creator>
  <cp:lastModifiedBy>牧羊人</cp:lastModifiedBy>
  <cp:lastPrinted>2021-06-17T02:56:00Z</cp:lastPrinted>
  <dcterms:modified xsi:type="dcterms:W3CDTF">2021-11-23T02:57:12Z</dcterms:modified>
  <dc:title>货物</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5335218A92734A82A76F9C5A42889D17</vt:lpwstr>
  </property>
</Properties>
</file>